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2A8" w:rsidRPr="0016260D" w:rsidRDefault="002972A8" w:rsidP="002972A8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16260D">
        <w:rPr>
          <w:b/>
          <w:sz w:val="48"/>
          <w:szCs w:val="48"/>
          <w:highlight w:val="lightGray"/>
          <w:u w:val="single"/>
        </w:rPr>
        <w:t>TROŠKOVNIK</w:t>
      </w:r>
    </w:p>
    <w:p w:rsidR="002972A8" w:rsidRDefault="002972A8" w:rsidP="002972A8"/>
    <w:tbl>
      <w:tblPr>
        <w:tblW w:w="9072" w:type="dxa"/>
        <w:tblLook w:val="04A0" w:firstRow="1" w:lastRow="0" w:firstColumn="1" w:lastColumn="0" w:noHBand="0" w:noVBand="1"/>
      </w:tblPr>
      <w:tblGrid>
        <w:gridCol w:w="911"/>
        <w:gridCol w:w="3977"/>
        <w:gridCol w:w="1001"/>
        <w:gridCol w:w="996"/>
        <w:gridCol w:w="1121"/>
        <w:gridCol w:w="1066"/>
      </w:tblGrid>
      <w:tr w:rsidR="002972A8" w:rsidRPr="002825E3" w:rsidTr="00AA25DB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PRIPREMNI RADOVI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2972A8" w:rsidRPr="002825E3" w:rsidTr="00AA25DB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76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R.B. 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Jedinična </w:t>
            </w: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cijena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2972A8" w:rsidRPr="002825E3" w:rsidTr="00AA25DB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78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Geodetski radovi - </w:t>
            </w:r>
            <w:proofErr w:type="spellStart"/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iskolčenje</w:t>
            </w:r>
            <w:proofErr w:type="spellEnd"/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trase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Stavka obuhvaća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iskolčenje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trase i priključaka, održavanje točaka operativnog poligona i repera te sva geodetska mjerenja kojima se podaci iz projekta prenose na teren i obrnuto, osiguranje osi iskolčene trase, profiliranje</w:t>
            </w:r>
            <w:r w:rsidRPr="002825E3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 xml:space="preserve"> 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cijelom razdoblju od početka radova do predaje svih radova investitoru. Geodetski radovi obuhvaćaju i obnovu stalnih geodetskih točaka u području zahvata uključujući i sve potrebne radove za provedbu obnove sukladno zakonskoj regulativi. Obračun je po kilometru trase i priključaka u skladu s projektom. Izvedba, kontrola kakvoće i obračun prema OTU 1-02.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km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0,55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6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144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Geodetsko praćenje radova</w:t>
            </w:r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  <w:t xml:space="preserve"> 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Stavka podrazumijeva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terestričku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izmjeru, obnavljanje i održavanje iskolčenih oznaka na terenu u cijelom razdoblju od početka radova do predaje svih radova investitoru, te obradu izlaznih rezultata izmjere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1,00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6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10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1.3.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Obnova osi trase prometnice,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stacionaže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poligonskih točaka i repera te zapisnički predaja investitoru. Izrada i nabava  dokumentacije za upis u katastar nekretnina i zemljišne knjige: Situacijski nacrt izgrađene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građ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kao dio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geod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elaborata koji je ovjerilo nadležno državno tijelo za katastar i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geod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poslovea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izradila osoba registrirana za obavljanje te djelatnosti po posebnom propisu. Geodetski snimak izvedenog stanja nakon završetka radova radi evidentiranja izvedenog stanja građevine u katastru i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zemljišnoj knjizi i prema traženju investitora radi konačnog obračuna radova (zemljani radovi, kolnički zastor, oprema ceste, kontrola visina kolnika).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km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0,55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6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192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1.4.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Strojno </w:t>
            </w:r>
            <w:proofErr w:type="spellStart"/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zasjecanje</w:t>
            </w:r>
            <w:proofErr w:type="spellEnd"/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asfalta. </w:t>
            </w:r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Stavkom su obuhvaćena sva strojna zasijecanja asfalta na mjestima uklapanja nove i stare kolničke konstrukcije, na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mjestina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proširenja kolnika, zasijecanja pri izvedbi prekopa i sl. Jedinična cijena obuhvaća sav rad, opremu i materijal potreban za potpuno dovršenje stavke, te utovar i odvoz. Obračun je po m1.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m1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10,50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12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1.5.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Detektiranje postojećih podzemnih instalacija 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blizini planirane građevine to se odnosi na instalacije telefona, vodovoda, plina i električnih instalacija. Predstavnik distributera treba iskolčiti podzemne vodove prije početka radova.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m1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1000,00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6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1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1. PRIPREMNI RADOVI - ukupno 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2972A8" w:rsidRDefault="002972A8" w:rsidP="002972A8"/>
    <w:p w:rsidR="002972A8" w:rsidRDefault="002972A8" w:rsidP="002972A8"/>
    <w:tbl>
      <w:tblPr>
        <w:tblW w:w="8960" w:type="dxa"/>
        <w:tblLook w:val="04A0" w:firstRow="1" w:lastRow="0" w:firstColumn="1" w:lastColumn="0" w:noHBand="0" w:noVBand="1"/>
      </w:tblPr>
      <w:tblGrid>
        <w:gridCol w:w="932"/>
        <w:gridCol w:w="4014"/>
        <w:gridCol w:w="987"/>
        <w:gridCol w:w="983"/>
        <w:gridCol w:w="1105"/>
        <w:gridCol w:w="1051"/>
      </w:tblGrid>
      <w:tr w:rsidR="002972A8" w:rsidRPr="002825E3" w:rsidTr="00AA2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ZEMLJANI RADOVI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2972A8" w:rsidRPr="002825E3" w:rsidTr="00AA2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R.B. 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Jedinična </w:t>
            </w: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cijena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2972A8" w:rsidRPr="002825E3" w:rsidTr="00AA2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0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2.1.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Široki iskop u materijalu C kategorije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Iskop tla za cestu, prilazne puteve, rovove za kablove javne rasvjete, temelje za stupove javne rasvjete i dr. prema projektu s utovarom u prijevozno sredstvo, odvozom na lokalnu deponiju, deponiranje te planiranje i uređenje deponije. Dio materijala koji je potreban za zatrpavanje rovova odlagati na privremeno odlagalište na gradilištu. Rad se mjeri u kubičnim metrima stvarno iskopanog materijala, mjereno u sraslom stanju. Izvedba, kontrola kakvoće i obračun prema OTU 2-02.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Strojno 80%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825E3">
              <w:rPr>
                <w:rFonts w:ascii="Arial" w:eastAsia="Times New Roman" w:hAnsi="Arial" w:cs="Arial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825E3">
              <w:rPr>
                <w:rFonts w:ascii="Arial" w:eastAsia="Times New Roman" w:hAnsi="Arial" w:cs="Arial"/>
                <w:lang w:eastAsia="hr-HR"/>
              </w:rPr>
              <w:t>980,00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Ručno 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825E3">
              <w:rPr>
                <w:rFonts w:ascii="Arial" w:eastAsia="Times New Roman" w:hAnsi="Arial" w:cs="Arial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2825E3">
              <w:rPr>
                <w:rFonts w:ascii="Arial" w:eastAsia="Times New Roman" w:hAnsi="Arial" w:cs="Arial"/>
                <w:lang w:eastAsia="hr-HR"/>
              </w:rPr>
              <w:t>245,00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2.2.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Uređenje temeljnog tla mehaničkim zbijanjem.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Poravnanje i zbijanje temeljnog tla u zemljanim materijalima treba izvršiti tako, da se postignu karakteristike: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ukoliko se zadržava postojeći sloj tucanika: stupanj zbijenosti u odnosu na standardni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Proctor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-ov postupak Sz≥97%, odnosno modul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stišljivosti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Ms≥45MN/m2. CBR≥40%, a ukoliko se ne zadržava postojeći sloj tucanika: stupanj zbijenosti u odnosu na standardni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Proctor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-ov postupak Sz≥97%, odnosno modul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stišljivosti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Ms≥20MN/m2. CBR≥40%.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4595,00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6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2.3.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Izrada nasipa od kamenih materijala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Stavka obuhvaća - nabavu materijala i strojnu ugradnju materijala, odnosno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istresanje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razastiranje, ravnanje i zbijanje materijala koji se ugrađuje u nasip u slojevima, pri čemu je debljina slojeva ugradnje materijala ona koja omogućava optimalnu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ugradljivost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najveću moguću gustoću ugrađenog materijala,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- sva možebitna tehnološka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međuodlaganja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međutransporte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 pretovare materijala na mjestu njegove ugradnje,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- sve ostale tehnološke zahvate prilikom rukovanja materijalom koja omogućavaju zadržavanje tražene kakvoće ugradnje (vlažnost, jednolikost sastava,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ugradljivost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itd.),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- sve ostale potrebne predradnje i radove kojima se postiže najveća moguća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gustoča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ugrađenog materijala svih slojeva izvedenog nasipa,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Zbijanje nasipa u kamenim materijalima treba vršiti tako, da se postigne stupanj zbijenosti u odnosu na standardni 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Proctor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-ov postupak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Sz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≥ 97%, odnosno modul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stišljivosti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Ms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&gt;80MN/m2.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u mjerama, na način i u količini koja je određena projektom ili izvedbenim troškovnikom i uputama od strane nadzornog inženjera.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40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2.4.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Planiranje i </w:t>
            </w:r>
            <w:proofErr w:type="spellStart"/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zatravnjenje</w:t>
            </w:r>
            <w:proofErr w:type="spellEnd"/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površina.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Stavka obuhvaća: - valjanje, planiranje i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humusiranje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ravnih zelenih površina. Rad obuhvaća dobavu i ugradnju humusnog materijala u sloju debljine do 20 cm. Razastrti sloj humusa je potrebno uvaljati laganim valjkom. U slučaju suhog i vrućeg vremena potrebno je vlažiti zasijane površine. Po fino uređenom humusnom sloju sije se trava. Vrsta i mješavina trave odabire su u ovisnosti o ekološkim uvjetima zbog sigurnosti rasta vegetacije. Količina sjemena iznosi oko 5.1-8.0 g/m2. Nakon izrade humusnog sloja i travnate vegetacije, površine se moraju njegovati do konačnog rasta, ako je potrebno pokositi 1-2 puta.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218,00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2.5.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Izrada nasipa od zemljanog materijala.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Izrada nasipa bankine od zemljanog materijala prema kotama i detaljima danim na poprečnim presjecima. Rad obuhvaća strojno razastiranje i planiranje zemljanog materijala, zbijanje ježevima, glatkim valjcima ili valjcima s kotačima na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pneumaticima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uz prethodno kvašenje vodom. Zbijanje nasipa u zemljanim materijalima treba vršiti tako, da se postigne stupanj zbijenosti u odnosu na standardni 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Proctor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-ov postupak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Sz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≥ 97%, odnosno modul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stišljivosti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Ms≥20MN/m2. CBR≥15%. Svi radovi moraju biti izvedeni u skladu O.T.U.I. 2-9.1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730,00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2. ZEMLJANI RADOVI - ukupno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2972A8" w:rsidRDefault="002972A8" w:rsidP="002972A8"/>
    <w:p w:rsidR="002972A8" w:rsidRDefault="002972A8" w:rsidP="002972A8"/>
    <w:tbl>
      <w:tblPr>
        <w:tblW w:w="9240" w:type="dxa"/>
        <w:tblLook w:val="04A0" w:firstRow="1" w:lastRow="0" w:firstColumn="1" w:lastColumn="0" w:noHBand="0" w:noVBand="1"/>
      </w:tblPr>
      <w:tblGrid>
        <w:gridCol w:w="960"/>
        <w:gridCol w:w="4029"/>
        <w:gridCol w:w="1017"/>
        <w:gridCol w:w="1012"/>
        <w:gridCol w:w="1139"/>
        <w:gridCol w:w="1083"/>
      </w:tblGrid>
      <w:tr w:rsidR="002972A8" w:rsidRPr="002825E3" w:rsidTr="00AA25D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 KOLNIČKA KONSTRUKCIJA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2972A8" w:rsidRPr="002825E3" w:rsidTr="00AA2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R.B. 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Jedinična </w:t>
            </w: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cijena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2972A8" w:rsidRPr="002825E3" w:rsidTr="00AA2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3.1.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Izrada nosivog sloja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(Sz≥97%, Ms≥80 MN/m2, CBR≥40) od drobljenog kamenog materijala, veličine zrna 0/63 mm, debljine prema karakterističnim poprečnim profilima u zbijenom stanju.  U cijenu je uključena dobava materijala, utovar, prijevoz, i ugradnja (strojno razastiranje, planiranje i zbijanje do traženog modula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stišljivosti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ili stupnja zbijenosti) na uređenu i preuzetu podlogu. Obračun je po m3 ugrađenog materijala u zbijenom stanju. Izvedba, kontrola kakvoće i obračun prema OTU 5-01. Stavka obuhvaća nabavu, dovoz i ugradnju, sav rad i materijal potreban za rad.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1186,00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3.2.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Izrada nosivog asfaltnog sloja (srednje prometno opterećenje) AC 32 base 50/70, debljine 8,0 cm. 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 cijeni su sadržani svi troškovi nabave materijala, proizvodnje i ugradnje asfaltne mješavine, prijevoz, oprema i sve ostalo potrebno za potpuno izvođenje radova. Obračun je po m2 gornje površine stvarno položenog i ugrađenog nosivog sloja.  Izvedba i kontrola kakvoće prema (HRN EN 13108-1)  i tehničkim svojstvima i zahtjevima za građevne proizvode za proizvodnju asfaltnih mješavina i za asfaltne slojeve kolnika. Stavka obuhvaća nabavu, dovoz i ugradnju, sav rad i materijal potreban za rad.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3470,00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3.3.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Izrada </w:t>
            </w:r>
            <w:proofErr w:type="spellStart"/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habajućeg</w:t>
            </w:r>
            <w:proofErr w:type="spellEnd"/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asfaltnog sloja (srednje prometno opterećenje) AC 11 </w:t>
            </w:r>
            <w:proofErr w:type="spellStart"/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surf</w:t>
            </w:r>
            <w:proofErr w:type="spellEnd"/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50/70, debljine 4,0 cm.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U cijeni su sadržani svi troškovi nabave materijala, proizvodnje i ugradnje asfaltne mješavine, prijevoz, oprema i sve ostalo što je potrebno za potpuno izvođenje radova. Obračun je po m2 gornje površine stvarno položenog i ugrađenog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habajućeg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sloja od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asfaltbetona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sukladno projektu. Izvedba i kontrola kakvoće prema (HRN EN 13108-1)  i tehničkim svojstvima i zahtjevima za građevne proizvode za proizvodnju asfaltnih mješavina i za asfaltne slojeve kolnika. Stavka obuhvaća nabavu, dovoz i ugradnju, sav rad i materijal potreban za rad.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3435,00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19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3.4.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Prskanje bitumenskom emulzijom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Strojno čišćenje ohlađenog nosivog asfaltnog sloja, te potom strojno nanošenje bitumenske emulzije za sljepljivanje asfaltnih slojeva neposredno prije izvedbe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habajućeg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asfaltnog sloja. Bitumensku emulziju nanijeti u sloju 0.30kg/m2. Obračun po m2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nanešene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bitumenske emulzije.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3470,00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3. KOLNIČKA KONSTRUKCIJA - ukupno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2972A8" w:rsidRDefault="002972A8" w:rsidP="002972A8"/>
    <w:tbl>
      <w:tblPr>
        <w:tblW w:w="8120" w:type="dxa"/>
        <w:tblLook w:val="04A0" w:firstRow="1" w:lastRow="0" w:firstColumn="1" w:lastColumn="0" w:noHBand="0" w:noVBand="1"/>
      </w:tblPr>
      <w:tblGrid>
        <w:gridCol w:w="960"/>
        <w:gridCol w:w="3320"/>
        <w:gridCol w:w="1017"/>
        <w:gridCol w:w="994"/>
        <w:gridCol w:w="1139"/>
        <w:gridCol w:w="1083"/>
      </w:tblGrid>
      <w:tr w:rsidR="002972A8" w:rsidRPr="002825E3" w:rsidTr="00AA2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 PROMETNA SIGNALIZACIJA I OPREMA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2972A8" w:rsidRPr="002825E3" w:rsidTr="00AA2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R.B.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Jedinična </w:t>
            </w: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cijena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2972A8" w:rsidRPr="002825E3" w:rsidTr="00AA2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1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HORIZONTALNA SIGNALIZACIJA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972A8" w:rsidRPr="002825E3" w:rsidTr="00AA2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26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Ovaj rad obuhvaća izradu oznaka na kolniku (sav rad djelatnika i strojeva i sav materijal) za reguliranje prometa koje su definirane u Pravilniku o prometnim znakovima, signalizaciji i opremi na cestama (N.N. 33/05, 64/05, 155/05, 14/11), HR normama i ovim O.T.U. Boje i dimenzije oznaka određene su Pravilnikom i pripadajućim normama. U cijenu je </w:t>
            </w:r>
            <w:proofErr w:type="spellStart"/>
            <w:r w:rsidRPr="002825E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potrbno</w:t>
            </w:r>
            <w:proofErr w:type="spellEnd"/>
            <w:r w:rsidRPr="002825E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uključiti i tzv. "markiranje".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40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4.1.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Izrada pune i isprekidane razdjelne crte bijele boje, 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sa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retroreflektivnim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zrncima klase II, širine 12 cm. Oznake na kolniku izvode se prema projektu prometne opreme i signalizacije, a u skladu s važećim Pravilnikom o prometnim znakovima, opremi i signalizaciji na cestama i važećim hrvatskim normama koje reguliraju to područje (HRN 1436). U cijenu ulazi sav rad, materijal prijevoz i sve ostalo što je potrebno za potpuni dovršetak posla uključujući potrebna ispitivanja kakvoće materijala i rada. Obračun je po m1 izvedenih oznaka. Izvedba, kontrola kakvoće i obračun prema OTU 9-02 i 9-02.1.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510,00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1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VERTIKALNA SIGNALIZACIJA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972A8" w:rsidRPr="002825E3" w:rsidTr="00AA2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79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Prometni znakovi</w:t>
            </w:r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Ovaj rad obuhvaća nabavu i postavljanje svih vrsta prometnih znakova u svemu prema nacrtu situacija signalizacije. 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Prometni znakovi svojom vrstom, značenjem, oblikom, bojom, veličinom i načinom postavljanja trebaju biti u skladu s Pravilnikom o prometnim znakovima, signalizaciji i opremi na cestama (N.N. 33/05, 64/05, 155/05, 14/11), te hrvatskim normama. 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Prometni znakovi pričvršćuju se na stupove koji su izrađeni od Fe cijevi (Ø 60,3 mm) i zaštićeni protiv korozije postupkom vrućeg cinčanja. Pri postavljanju prometni znak treba zakrenuti za 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3-5° u odnosu na os prometnice da se izbjegne intenzivna refleksija i smanji kontrast oznaka, znaka i pozadine koja je osvijetljena. Klasa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retrorefleksije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sukladno Pravilniku. Na isti stup se ne smije postaviti više od dva prometna znaka. Na istom stupu ukoliko je više prometnih znakova klasa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retrorefleksije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mora biti ona veća (II ili III). Stupovi znakova postavljaju se u betonske temelje minimalne kakvoće betona 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C 25/30, oblika krnje piramide čije su stranice baza 30 cm i 20 cm, te visine 70 cm.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4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4.2.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Stup prometnog znaka</w:t>
            </w:r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Nabava, transport i ugradnja Fe stupova Ø 60,3 mm kružnog presjeka, dužine 3,2 m. Dimenzije stupa određene su Pravilnikom o prometnim znakovima, signalizaciji i opremi na cestama  (N.N. 33/05, 64/05, 155/05, 14/11), te hrvatskim normama. 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Rad obuhvaća nabavu, prijevoz, iskop, izradu temelja i postavljanje stupa u temelj. Obračunava se prema broju postavljenih stupova, uključuje i svu opremu, materijal i pribor za postavljanje i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pričvrščivanje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prometnih znakova, te temelj s nosivom konstrukcijom. Radove izvesti u skladu sa O.T.U. 9-01.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40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lastRenderedPageBreak/>
              <w:t>4.3.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Prometni znak</w:t>
            </w:r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Dimenzije znakova određene su Pravilnikom o prometnim znakovima, signalizaciji i opremi na cestama  (N.N. 33/05, 64/05, 155/05, 14/11), te HR normama. 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 xml:space="preserve">Rad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obuvaća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nabavu, prijevoz i postavljanje prometnog znaka sa stupom i temeljem. Obračunava se prema broju postavljenih znakova određenih dimenzija, uključujući stupove, sva oprema i pribor za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pričvrščivanje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prometnih znakova i temelje s nosivom konstrukcijom. Radove izvesti u skladu sa O.T.U. 9-01. Obračun po prometnom znaku.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Prometni znak br.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B31</w:t>
            </w:r>
            <w:r w:rsidRPr="002825E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, d=60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4. PROMETNA SIGNALIZACIJA I OPREMA - ukupno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2972A8" w:rsidRDefault="002972A8" w:rsidP="002972A8"/>
    <w:p w:rsidR="002972A8" w:rsidRDefault="002972A8" w:rsidP="002972A8"/>
    <w:tbl>
      <w:tblPr>
        <w:tblW w:w="9341" w:type="dxa"/>
        <w:tblLook w:val="04A0" w:firstRow="1" w:lastRow="0" w:firstColumn="1" w:lastColumn="0" w:noHBand="0" w:noVBand="1"/>
      </w:tblPr>
      <w:tblGrid>
        <w:gridCol w:w="616"/>
        <w:gridCol w:w="3980"/>
        <w:gridCol w:w="1017"/>
        <w:gridCol w:w="994"/>
        <w:gridCol w:w="1380"/>
        <w:gridCol w:w="1800"/>
      </w:tblGrid>
      <w:tr w:rsidR="002972A8" w:rsidRPr="002825E3" w:rsidTr="00AA25DB">
        <w:trPr>
          <w:trHeight w:val="37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 TEKUĆA ISPITIVANJA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2972A8" w:rsidRPr="002825E3" w:rsidTr="00AA25DB">
        <w:trPr>
          <w:trHeight w:val="37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51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R.B. 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Jedinična </w:t>
            </w: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cijena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2972A8" w:rsidRPr="002825E3" w:rsidTr="00AA25DB">
        <w:trPr>
          <w:trHeight w:val="37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168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5.1.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Ispitivanja, mjerenja i izdavanje mjernih protokola. 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Troškovi ispitivanja materijala i radova, uzimanja atesta, te ispitivanje svih ugrađenih slojeva kolničke konstrukcije.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Istraživanja se vrše u skladu sa "PROGRAMOM KONTROLE I OSIGURANJA KVALITETE"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1,00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7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720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5. TEKUĆA ISPITIVANJA - ukupno :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2972A8" w:rsidRDefault="002972A8" w:rsidP="002972A8"/>
    <w:p w:rsidR="002972A8" w:rsidRDefault="002972A8" w:rsidP="002972A8"/>
    <w:tbl>
      <w:tblPr>
        <w:tblW w:w="8620" w:type="dxa"/>
        <w:tblLook w:val="04A0" w:firstRow="1" w:lastRow="0" w:firstColumn="1" w:lastColumn="0" w:noHBand="0" w:noVBand="1"/>
      </w:tblPr>
      <w:tblGrid>
        <w:gridCol w:w="960"/>
        <w:gridCol w:w="3820"/>
        <w:gridCol w:w="1017"/>
        <w:gridCol w:w="994"/>
        <w:gridCol w:w="1139"/>
        <w:gridCol w:w="1083"/>
      </w:tblGrid>
      <w:tr w:rsidR="002972A8" w:rsidRPr="002825E3" w:rsidTr="00AA2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6. OSTALI RADOVI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</w:tr>
      <w:tr w:rsidR="002972A8" w:rsidRPr="002825E3" w:rsidTr="00AA2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R.B. 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Jedinica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Jedinična </w:t>
            </w: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cijena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2972A8" w:rsidRPr="002825E3" w:rsidTr="00AA2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48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6.1.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Postavljanje jednostrane čelične zaštitne ograde, klase N2. Čelična zaštitna ograda postavlja se prema projektu prometne opreme i signalizacije, a u skladu s važećim Pravilnikom o prometnim znakovima, opremi i signalizaciji na cestama i važećim hrvatskim normama koje reguliraju to područje. Jedinična cijena sadrži nabavu svih sastavnih elemenata ograde zaštićenih protiv korozije toplim </w:t>
            </w:r>
            <w:proofErr w:type="spellStart"/>
            <w:r w:rsidRPr="00282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pocinčavanjem</w:t>
            </w:r>
            <w:proofErr w:type="spellEnd"/>
            <w:r w:rsidRPr="002825E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(EN ISO 1461), iskop jama za stupiće, ugrađivanje stupića, montiranje ograde, sve prijenose i prijevoze te sav rad i materijal potreban za ugradnju po uvjetima iz projekta. Obračun je po m1 postavljene ograde. Izvedba, kontrola kakvoće i obračun prema OTU 9-04. i 9-04.1.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m'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48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6.2.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Postavljanje kosog početka-završetka, jednostrane ograde, klase N2. Kosi početak-završetak čelične zaštitne ograde s polukružnim završetkom ukopanim u zemlju postavlja se prema projektu prometne opreme i signalizacije, a u skladu s važećim Pravilnikom o prometnim znakovima, opremi i signalizaciji na cestama i važećim hrvatskim normama koje reguliraju to područje. Jedinična cijena sadrži nabavu svih sastavnih elemenata kosih završetaka zaštićenih protiv korozije toplim </w:t>
            </w:r>
            <w:proofErr w:type="spellStart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pocinčavanjem</w:t>
            </w:r>
            <w:proofErr w:type="spellEnd"/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(EN ISO 1461), iskop jama za stupiće, ugrađivanje stupića, montiranje elemenata, sve prijenose i prijevoze te sav rad i materijal potreban za ugradnju po uvjetima iz projekta. Obračun je po komadu postavljenih elemenata. Izvedba, kontrola kakvoće i obračun prema OTU 9-04. i 9-04.1.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6.3.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Provedba projektantskog nadzora u tijeku izvođenja radova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4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>6.4.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IZRADA TEMELJA STUPA JAVNE RASVJETE</w:t>
            </w:r>
            <w:r w:rsidRPr="002825E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br/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Izrada betonskog temelja stupa javne rasvjete dimenzija 1,0x1,0x1,1m.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Beton za izradu temelja je razreda tlačne čvrstoće C16/20 sa najmanje 260 kg cementa u 1m3 betona. Temelji su armirani čeličnom mrežnom armaturom RA 500S (tip mreže Q-335).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Betoniranje se vrši nakon postavljanja temeljnih vijaka, armature  i provodnih cijevi i odvija se neprekidno do završetka temeljenja.</w:t>
            </w:r>
            <w:r w:rsidRPr="002825E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  <w:t>Stavka obuhvaća dovoz, ugradnju i njegu svježeg betona, te dovoz i ugradnju čelične mrežne armatura RA 500s (Q-335), uz dovoz i montažu sidrenih vijaka (4M24 po stupu), te dovoz i montažu potrebne oplate.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16,50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6. OSTALI RADOVI - ukupno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sz w:val="26"/>
                <w:szCs w:val="2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2972A8" w:rsidRDefault="002972A8" w:rsidP="002972A8"/>
    <w:p w:rsidR="002972A8" w:rsidRDefault="002972A8" w:rsidP="002972A8"/>
    <w:p w:rsidR="002972A8" w:rsidRDefault="002972A8" w:rsidP="002972A8"/>
    <w:p w:rsidR="002972A8" w:rsidRDefault="002972A8" w:rsidP="002972A8"/>
    <w:p w:rsidR="002972A8" w:rsidRDefault="002972A8" w:rsidP="002972A8"/>
    <w:p w:rsidR="002972A8" w:rsidRDefault="002972A8" w:rsidP="002972A8"/>
    <w:p w:rsidR="002972A8" w:rsidRDefault="002972A8" w:rsidP="002972A8"/>
    <w:p w:rsidR="002972A8" w:rsidRDefault="002972A8" w:rsidP="002972A8"/>
    <w:p w:rsidR="002972A8" w:rsidRDefault="002972A8" w:rsidP="002972A8"/>
    <w:p w:rsidR="002972A8" w:rsidRDefault="002972A8" w:rsidP="002972A8"/>
    <w:p w:rsidR="002972A8" w:rsidRDefault="002972A8" w:rsidP="002972A8"/>
    <w:p w:rsidR="002972A8" w:rsidRDefault="002972A8" w:rsidP="002972A8"/>
    <w:p w:rsidR="002972A8" w:rsidRDefault="002972A8" w:rsidP="002972A8"/>
    <w:p w:rsidR="002972A8" w:rsidRDefault="002972A8" w:rsidP="002972A8"/>
    <w:p w:rsidR="002972A8" w:rsidRDefault="002972A8" w:rsidP="002972A8"/>
    <w:p w:rsidR="002972A8" w:rsidRDefault="002972A8" w:rsidP="002972A8"/>
    <w:tbl>
      <w:tblPr>
        <w:tblW w:w="9635" w:type="dxa"/>
        <w:tblLook w:val="04A0" w:firstRow="1" w:lastRow="0" w:firstColumn="1" w:lastColumn="0" w:noHBand="0" w:noVBand="1"/>
      </w:tblPr>
      <w:tblGrid>
        <w:gridCol w:w="960"/>
        <w:gridCol w:w="994"/>
        <w:gridCol w:w="943"/>
        <w:gridCol w:w="943"/>
        <w:gridCol w:w="960"/>
        <w:gridCol w:w="1990"/>
        <w:gridCol w:w="2860"/>
      </w:tblGrid>
      <w:tr w:rsidR="002972A8" w:rsidRPr="002825E3" w:rsidTr="00AA25D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REKAPITULACIJA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1. PRIPREMNI RADOVI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972A8" w:rsidRPr="002825E3" w:rsidTr="00AA25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2. ZEMLJANI RADOVI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972A8" w:rsidRPr="002825E3" w:rsidTr="00AA25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 KOLNIČKA KONSTRUKCIJA</w:t>
            </w:r>
          </w:p>
        </w:tc>
        <w:tc>
          <w:tcPr>
            <w:tcW w:w="19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972A8" w:rsidRPr="002825E3" w:rsidTr="00AA25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81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 PROMETNA SIGNALIZACIJA I OPREMA</w:t>
            </w:r>
          </w:p>
        </w:tc>
        <w:tc>
          <w:tcPr>
            <w:tcW w:w="28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972A8" w:rsidRPr="002825E3" w:rsidTr="00AA25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5. TEKUĆA ISPITIVANJA</w:t>
            </w:r>
          </w:p>
        </w:tc>
        <w:tc>
          <w:tcPr>
            <w:tcW w:w="19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972A8" w:rsidRPr="002825E3" w:rsidTr="00AA25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6. OSTALI RADOVI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972A8" w:rsidRPr="002825E3" w:rsidTr="00AA25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2972A8" w:rsidRPr="002825E3" w:rsidTr="00AA25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UKUPNO 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2972A8" w:rsidRPr="002825E3" w:rsidTr="00AA25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PDV 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2972A8" w:rsidRPr="002825E3" w:rsidTr="00AA25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2972A8" w:rsidRPr="002825E3" w:rsidTr="00AA25D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972A8" w:rsidRPr="002825E3" w:rsidTr="00AA25DB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825E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SVEUKUPNO :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2A8" w:rsidRPr="002825E3" w:rsidRDefault="002972A8" w:rsidP="00AA25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</w:tbl>
    <w:p w:rsidR="002972A8" w:rsidRDefault="002972A8" w:rsidP="002972A8"/>
    <w:p w:rsidR="002972A8" w:rsidRDefault="002972A8" w:rsidP="002972A8"/>
    <w:p w:rsidR="00822B60" w:rsidRDefault="00822B60"/>
    <w:sectPr w:rsidR="0082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A8"/>
    <w:rsid w:val="002972A8"/>
    <w:rsid w:val="0082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ACC3C-6E0D-4643-92B1-694B3C24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A8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2240</Words>
  <Characters>12768</Characters>
  <Application>Microsoft Office Word</Application>
  <DocSecurity>0</DocSecurity>
  <Lines>106</Lines>
  <Paragraphs>29</Paragraphs>
  <ScaleCrop>false</ScaleCrop>
  <Company/>
  <LinksUpToDate>false</LinksUpToDate>
  <CharactersWithSpaces>14979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2015-02-26T09:59:00Z</dcterms:created>
  <dcterms:modified xsi:type="dcterms:W3CDTF">2015-02-26T10:00:00Z</dcterms:modified>
</cp:coreProperties>
</file>