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48" w:rsidRPr="004A792E" w:rsidRDefault="00303448" w:rsidP="00303448">
      <w:pPr>
        <w:jc w:val="center"/>
      </w:pPr>
      <w:r w:rsidRPr="004A792E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8" o:title=""/>
          </v:shape>
          <o:OLEObject Type="Embed" ProgID="MSPhotoEd.3" ShapeID="_x0000_i1025" DrawAspect="Content" ObjectID="_1554112974" r:id="rId9"/>
        </w:object>
      </w:r>
    </w:p>
    <w:p w:rsidR="00303448" w:rsidRPr="004A792E" w:rsidRDefault="00303448" w:rsidP="00303448">
      <w:pPr>
        <w:jc w:val="center"/>
      </w:pPr>
    </w:p>
    <w:p w:rsidR="00303448" w:rsidRPr="00303448" w:rsidRDefault="00303448" w:rsidP="00303448">
      <w:pPr>
        <w:jc w:val="center"/>
        <w:rPr>
          <w:b/>
          <w:sz w:val="28"/>
          <w:szCs w:val="28"/>
        </w:rPr>
      </w:pPr>
      <w:r w:rsidRPr="00303448">
        <w:rPr>
          <w:b/>
          <w:sz w:val="28"/>
          <w:szCs w:val="28"/>
        </w:rPr>
        <w:t>REPUBLIKA HRVATSKA</w:t>
      </w:r>
    </w:p>
    <w:p w:rsidR="00303448" w:rsidRPr="00303448" w:rsidRDefault="00303448" w:rsidP="00303448">
      <w:pPr>
        <w:jc w:val="center"/>
        <w:rPr>
          <w:b/>
          <w:sz w:val="28"/>
          <w:szCs w:val="28"/>
        </w:rPr>
      </w:pPr>
      <w:r w:rsidRPr="00303448">
        <w:rPr>
          <w:b/>
          <w:sz w:val="28"/>
          <w:szCs w:val="28"/>
        </w:rPr>
        <w:t>VUKOVARSKO-SRIJEMSKA ŽUPANIJA</w:t>
      </w:r>
    </w:p>
    <w:p w:rsidR="00303448" w:rsidRPr="004A792E" w:rsidRDefault="00303448" w:rsidP="00303448">
      <w:pPr>
        <w:jc w:val="center"/>
      </w:pPr>
      <w:r w:rsidRPr="00303448">
        <w:rPr>
          <w:b/>
          <w:sz w:val="28"/>
          <w:szCs w:val="28"/>
        </w:rPr>
        <w:t>OPĆINA BABINA GREDA</w:t>
      </w:r>
    </w:p>
    <w:p w:rsidR="001C3EFB" w:rsidRPr="00C93D6B" w:rsidRDefault="001C3EFB" w:rsidP="001D7951">
      <w:pPr>
        <w:pStyle w:val="Tijeloteksta1"/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727D64" w:rsidRPr="001D7951" w:rsidRDefault="009F5CAC" w:rsidP="001D7951">
      <w:pPr>
        <w:pStyle w:val="Tijeloteksta1"/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>Na temelju članka 6</w:t>
      </w:r>
      <w:r w:rsidR="00727D64" w:rsidRPr="001D7951">
        <w:rPr>
          <w:rFonts w:ascii="Times New Roman" w:hAnsi="Times New Roman" w:cs="Times New Roman"/>
          <w:sz w:val="24"/>
          <w:szCs w:val="24"/>
        </w:rPr>
        <w:t xml:space="preserve">. Zakona o savjetima mladih («Narodne novine» broj </w:t>
      </w:r>
      <w:r w:rsidRPr="001D7951">
        <w:rPr>
          <w:rFonts w:ascii="Times New Roman" w:hAnsi="Times New Roman" w:cs="Times New Roman"/>
          <w:sz w:val="24"/>
          <w:szCs w:val="24"/>
        </w:rPr>
        <w:t>41</w:t>
      </w:r>
      <w:r w:rsidR="00727D64" w:rsidRPr="001D7951">
        <w:rPr>
          <w:rFonts w:ascii="Times New Roman" w:hAnsi="Times New Roman" w:cs="Times New Roman"/>
          <w:sz w:val="24"/>
          <w:szCs w:val="24"/>
        </w:rPr>
        <w:t>/</w:t>
      </w:r>
      <w:r w:rsidRPr="001D7951">
        <w:rPr>
          <w:rFonts w:ascii="Times New Roman" w:hAnsi="Times New Roman" w:cs="Times New Roman"/>
          <w:sz w:val="24"/>
          <w:szCs w:val="24"/>
        </w:rPr>
        <w:t>14</w:t>
      </w:r>
      <w:r w:rsidR="00727D64" w:rsidRPr="001D7951">
        <w:rPr>
          <w:rFonts w:ascii="Times New Roman" w:hAnsi="Times New Roman" w:cs="Times New Roman"/>
          <w:sz w:val="24"/>
          <w:szCs w:val="24"/>
        </w:rPr>
        <w:t>.) i članka 18. Statuta Općine Babina Greda («Službeni vjesnik" broj 11/09</w:t>
      </w:r>
      <w:r w:rsidR="00694249" w:rsidRPr="001D7951">
        <w:rPr>
          <w:rFonts w:ascii="Times New Roman" w:hAnsi="Times New Roman" w:cs="Times New Roman"/>
          <w:sz w:val="24"/>
          <w:szCs w:val="24"/>
        </w:rPr>
        <w:t>, 04/13 i 03/14</w:t>
      </w:r>
      <w:r w:rsidR="00727D64" w:rsidRPr="001D7951">
        <w:rPr>
          <w:rFonts w:ascii="Times New Roman" w:hAnsi="Times New Roman" w:cs="Times New Roman"/>
          <w:sz w:val="24"/>
          <w:szCs w:val="24"/>
        </w:rPr>
        <w:t xml:space="preserve">), Općinsko vijeće Općine Babina Greda, na sjednici održanoj  dana  </w:t>
      </w:r>
      <w:r w:rsidR="00125CB4">
        <w:rPr>
          <w:rFonts w:ascii="Times New Roman" w:hAnsi="Times New Roman" w:cs="Times New Roman"/>
          <w:sz w:val="24"/>
          <w:szCs w:val="24"/>
        </w:rPr>
        <w:t>13. travnja</w:t>
      </w:r>
      <w:r w:rsidR="00727D64" w:rsidRPr="001D7951">
        <w:rPr>
          <w:rFonts w:ascii="Times New Roman" w:hAnsi="Times New Roman" w:cs="Times New Roman"/>
          <w:sz w:val="24"/>
          <w:szCs w:val="24"/>
        </w:rPr>
        <w:t xml:space="preserve"> 201</w:t>
      </w:r>
      <w:r w:rsidR="00694249" w:rsidRPr="001D7951">
        <w:rPr>
          <w:rFonts w:ascii="Times New Roman" w:hAnsi="Times New Roman" w:cs="Times New Roman"/>
          <w:sz w:val="24"/>
          <w:szCs w:val="24"/>
        </w:rPr>
        <w:t>7</w:t>
      </w:r>
      <w:r w:rsidR="00727D64" w:rsidRPr="001D7951">
        <w:rPr>
          <w:rFonts w:ascii="Times New Roman" w:hAnsi="Times New Roman" w:cs="Times New Roman"/>
          <w:sz w:val="24"/>
          <w:szCs w:val="24"/>
        </w:rPr>
        <w:t>.godine donijelo je slijedeću</w:t>
      </w:r>
    </w:p>
    <w:p w:rsidR="00727D64" w:rsidRPr="001D7951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9F5CAC" w:rsidRPr="001D7951" w:rsidRDefault="009F5CAC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694249" w:rsidRPr="00303448" w:rsidRDefault="00727D64" w:rsidP="00303448">
      <w:pPr>
        <w:pStyle w:val="Tijeloteksta1"/>
        <w:spacing w:line="240" w:lineRule="auto"/>
        <w:ind w:left="341" w:right="40" w:hanging="31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3448">
        <w:rPr>
          <w:rFonts w:ascii="Times New Roman" w:hAnsi="Times New Roman" w:cs="Times New Roman"/>
          <w:b/>
          <w:sz w:val="48"/>
          <w:szCs w:val="48"/>
        </w:rPr>
        <w:t>O D L U K U</w:t>
      </w:r>
    </w:p>
    <w:p w:rsidR="00727D64" w:rsidRPr="00303448" w:rsidRDefault="00694249" w:rsidP="001D7951">
      <w:pPr>
        <w:pStyle w:val="Tijeloteksta1"/>
        <w:spacing w:line="240" w:lineRule="auto"/>
        <w:ind w:left="341" w:right="40" w:hanging="3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48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727D64" w:rsidRPr="00303448">
        <w:rPr>
          <w:rFonts w:ascii="Times New Roman" w:hAnsi="Times New Roman" w:cs="Times New Roman"/>
          <w:b/>
          <w:sz w:val="32"/>
          <w:szCs w:val="32"/>
        </w:rPr>
        <w:t>osnivanju Savjeta mladih Općine Babina Greda</w:t>
      </w:r>
    </w:p>
    <w:p w:rsidR="00727D64" w:rsidRPr="001D7951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b/>
          <w:sz w:val="24"/>
          <w:szCs w:val="24"/>
        </w:rPr>
      </w:pPr>
    </w:p>
    <w:p w:rsidR="009F5CAC" w:rsidRPr="001D7951" w:rsidRDefault="009F5CAC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b/>
          <w:sz w:val="24"/>
          <w:szCs w:val="24"/>
        </w:rPr>
      </w:pPr>
    </w:p>
    <w:p w:rsidR="00F7544F" w:rsidRPr="001D7951" w:rsidRDefault="00F7544F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b/>
          <w:sz w:val="24"/>
          <w:szCs w:val="24"/>
        </w:rPr>
      </w:pPr>
    </w:p>
    <w:p w:rsidR="00727D64" w:rsidRPr="00303448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b/>
          <w:sz w:val="28"/>
          <w:szCs w:val="28"/>
        </w:rPr>
      </w:pPr>
      <w:r w:rsidRPr="00303448">
        <w:rPr>
          <w:rFonts w:ascii="Times New Roman" w:hAnsi="Times New Roman" w:cs="Times New Roman"/>
          <w:b/>
          <w:sz w:val="28"/>
          <w:szCs w:val="28"/>
        </w:rPr>
        <w:t xml:space="preserve">OPĆE ODREDBE </w:t>
      </w:r>
    </w:p>
    <w:p w:rsidR="00727D64" w:rsidRPr="00303448" w:rsidRDefault="001D7951" w:rsidP="001D7951">
      <w:pPr>
        <w:pStyle w:val="Tijeloteksta1"/>
        <w:spacing w:line="240" w:lineRule="auto"/>
        <w:ind w:left="-181" w:right="40"/>
        <w:jc w:val="center"/>
        <w:rPr>
          <w:rFonts w:ascii="Times New Roman" w:hAnsi="Times New Roman" w:cs="Times New Roman"/>
          <w:sz w:val="28"/>
          <w:szCs w:val="28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   </w:t>
      </w:r>
      <w:r w:rsidR="00976AB8">
        <w:rPr>
          <w:rFonts w:ascii="Times New Roman" w:hAnsi="Times New Roman" w:cs="Times New Roman"/>
          <w:sz w:val="24"/>
          <w:szCs w:val="24"/>
        </w:rPr>
        <w:t xml:space="preserve"> </w:t>
      </w:r>
      <w:r w:rsidR="00303448">
        <w:rPr>
          <w:rFonts w:ascii="Times New Roman" w:hAnsi="Times New Roman" w:cs="Times New Roman"/>
          <w:sz w:val="24"/>
          <w:szCs w:val="24"/>
        </w:rPr>
        <w:t xml:space="preserve"> </w:t>
      </w:r>
      <w:r w:rsidR="00727D64" w:rsidRPr="00303448">
        <w:rPr>
          <w:rFonts w:ascii="Times New Roman" w:hAnsi="Times New Roman" w:cs="Times New Roman"/>
          <w:sz w:val="28"/>
          <w:szCs w:val="28"/>
        </w:rPr>
        <w:t>Članak 1.</w:t>
      </w:r>
    </w:p>
    <w:p w:rsidR="00694249" w:rsidRPr="001D7951" w:rsidRDefault="00694249" w:rsidP="001D7951">
      <w:pPr>
        <w:pStyle w:val="Tijeloteksta1"/>
        <w:spacing w:line="240" w:lineRule="auto"/>
        <w:ind w:left="-181" w:right="40"/>
        <w:rPr>
          <w:rFonts w:ascii="Times New Roman" w:hAnsi="Times New Roman" w:cs="Times New Roman"/>
          <w:sz w:val="24"/>
          <w:szCs w:val="24"/>
        </w:rPr>
      </w:pPr>
    </w:p>
    <w:p w:rsidR="00727D64" w:rsidRPr="001D7951" w:rsidRDefault="00727D64" w:rsidP="001D7951">
      <w:pPr>
        <w:pStyle w:val="Tijeloteksta1"/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694249" w:rsidRPr="001D7951">
        <w:rPr>
          <w:rFonts w:ascii="Times New Roman" w:hAnsi="Times New Roman" w:cs="Times New Roman"/>
          <w:sz w:val="24"/>
          <w:szCs w:val="24"/>
        </w:rPr>
        <w:t xml:space="preserve">se </w:t>
      </w:r>
      <w:r w:rsidR="005B6994" w:rsidRPr="001D7951">
        <w:rPr>
          <w:rFonts w:ascii="Times New Roman" w:hAnsi="Times New Roman" w:cs="Times New Roman"/>
          <w:sz w:val="24"/>
          <w:szCs w:val="24"/>
        </w:rPr>
        <w:t xml:space="preserve">uređuje osnivanje Savjeta mladih Općine </w:t>
      </w:r>
      <w:r w:rsidR="00965FA5">
        <w:rPr>
          <w:rFonts w:ascii="Times New Roman" w:hAnsi="Times New Roman" w:cs="Times New Roman"/>
          <w:sz w:val="24"/>
          <w:szCs w:val="24"/>
        </w:rPr>
        <w:t>B</w:t>
      </w:r>
      <w:r w:rsidR="005B6994" w:rsidRPr="001D7951">
        <w:rPr>
          <w:rFonts w:ascii="Times New Roman" w:hAnsi="Times New Roman" w:cs="Times New Roman"/>
          <w:sz w:val="24"/>
          <w:szCs w:val="24"/>
        </w:rPr>
        <w:t>abina Greda, djelokrug i način rada, način financiranja rada i programa Savjeta mladih, i ostalo.</w:t>
      </w:r>
    </w:p>
    <w:p w:rsidR="00727D64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737C2F" w:rsidRPr="001D7951" w:rsidRDefault="00737C2F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727D64" w:rsidRPr="00303448" w:rsidRDefault="00727D64" w:rsidP="001D7951">
      <w:pPr>
        <w:pStyle w:val="Tijeloteksta1"/>
        <w:spacing w:line="240" w:lineRule="auto"/>
        <w:ind w:left="340" w:right="40"/>
        <w:jc w:val="center"/>
        <w:rPr>
          <w:rFonts w:ascii="Times New Roman" w:hAnsi="Times New Roman" w:cs="Times New Roman"/>
          <w:sz w:val="28"/>
          <w:szCs w:val="28"/>
        </w:rPr>
      </w:pPr>
      <w:r w:rsidRPr="00303448">
        <w:rPr>
          <w:rFonts w:ascii="Times New Roman" w:hAnsi="Times New Roman" w:cs="Times New Roman"/>
          <w:sz w:val="28"/>
          <w:szCs w:val="28"/>
        </w:rPr>
        <w:t>Članak 2.</w:t>
      </w:r>
    </w:p>
    <w:p w:rsidR="00727D64" w:rsidRPr="001D7951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430246" w:rsidRPr="001D7951" w:rsidRDefault="009F5CAC" w:rsidP="00394117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1D7951">
        <w:rPr>
          <w:rFonts w:ascii="Times New Roman" w:hAnsi="Times New Roman" w:cs="Times New Roman"/>
          <w:color w:val="000000"/>
          <w:sz w:val="24"/>
          <w:szCs w:val="24"/>
        </w:rPr>
        <w:t>Mladi, u smislu Zakona</w:t>
      </w:r>
      <w:r w:rsidR="005B6994" w:rsidRPr="001D7951">
        <w:rPr>
          <w:rFonts w:ascii="Times New Roman" w:hAnsi="Times New Roman" w:cs="Times New Roman"/>
          <w:color w:val="000000"/>
          <w:sz w:val="24"/>
          <w:szCs w:val="24"/>
        </w:rPr>
        <w:t xml:space="preserve"> o Savjetu mladih („ Narodne novine“ br. 41/14)</w:t>
      </w:r>
      <w:r w:rsidRPr="001D7951">
        <w:rPr>
          <w:rFonts w:ascii="Times New Roman" w:hAnsi="Times New Roman" w:cs="Times New Roman"/>
          <w:color w:val="000000"/>
          <w:sz w:val="24"/>
          <w:szCs w:val="24"/>
        </w:rPr>
        <w:t xml:space="preserve">, su osobe </w:t>
      </w:r>
      <w:r w:rsidR="005B6994" w:rsidRPr="001D7951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965FA5" w:rsidRDefault="009F5CAC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1D7951">
        <w:rPr>
          <w:rFonts w:ascii="Times New Roman" w:hAnsi="Times New Roman" w:cs="Times New Roman"/>
          <w:color w:val="000000"/>
          <w:sz w:val="24"/>
          <w:szCs w:val="24"/>
        </w:rPr>
        <w:t>prebivalištem</w:t>
      </w:r>
      <w:r w:rsidR="005B6994" w:rsidRPr="001D7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951">
        <w:rPr>
          <w:rFonts w:ascii="Times New Roman" w:hAnsi="Times New Roman" w:cs="Times New Roman"/>
          <w:color w:val="000000"/>
          <w:sz w:val="24"/>
          <w:szCs w:val="24"/>
        </w:rPr>
        <w:t xml:space="preserve">ili boravištem na </w:t>
      </w:r>
      <w:r w:rsidR="00965FA5">
        <w:rPr>
          <w:rFonts w:ascii="Times New Roman" w:hAnsi="Times New Roman" w:cs="Times New Roman"/>
          <w:color w:val="000000"/>
          <w:sz w:val="24"/>
          <w:szCs w:val="24"/>
        </w:rPr>
        <w:t xml:space="preserve">području </w:t>
      </w:r>
      <w:r w:rsidR="005B6994" w:rsidRPr="001D7951">
        <w:rPr>
          <w:rFonts w:ascii="Times New Roman" w:hAnsi="Times New Roman" w:cs="Times New Roman"/>
          <w:color w:val="000000"/>
          <w:sz w:val="24"/>
          <w:szCs w:val="24"/>
        </w:rPr>
        <w:t xml:space="preserve">Općine Babina Greda </w:t>
      </w:r>
      <w:r w:rsidRPr="001D7951">
        <w:rPr>
          <w:rFonts w:ascii="Times New Roman" w:hAnsi="Times New Roman" w:cs="Times New Roman"/>
          <w:color w:val="000000"/>
          <w:sz w:val="24"/>
          <w:szCs w:val="24"/>
        </w:rPr>
        <w:t>za koju se osniva savjet mladih</w:t>
      </w:r>
      <w:r w:rsidR="00965FA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65FA5" w:rsidRDefault="005B6994" w:rsidP="00965FA5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7951">
        <w:rPr>
          <w:rFonts w:ascii="Times New Roman" w:hAnsi="Times New Roman" w:cs="Times New Roman"/>
          <w:color w:val="000000"/>
          <w:sz w:val="24"/>
          <w:szCs w:val="24"/>
        </w:rPr>
        <w:t>koji u</w:t>
      </w:r>
      <w:r w:rsidR="00965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CAC" w:rsidRPr="001D7951">
        <w:rPr>
          <w:rFonts w:ascii="Times New Roman" w:hAnsi="Times New Roman" w:cs="Times New Roman"/>
          <w:color w:val="000000"/>
          <w:sz w:val="24"/>
          <w:szCs w:val="24"/>
        </w:rPr>
        <w:t xml:space="preserve">trenutku </w:t>
      </w:r>
      <w:r w:rsidRPr="001D7951">
        <w:rPr>
          <w:rFonts w:ascii="Times New Roman" w:hAnsi="Times New Roman" w:cs="Times New Roman"/>
          <w:color w:val="000000"/>
          <w:sz w:val="24"/>
          <w:szCs w:val="24"/>
        </w:rPr>
        <w:t xml:space="preserve">podnošenja kandidatura </w:t>
      </w:r>
      <w:r w:rsidR="00E3778B">
        <w:rPr>
          <w:rFonts w:ascii="Times New Roman" w:hAnsi="Times New Roman" w:cs="Times New Roman"/>
          <w:color w:val="000000"/>
          <w:sz w:val="24"/>
          <w:szCs w:val="24"/>
        </w:rPr>
        <w:t>za članstvo u savjetu</w:t>
      </w:r>
      <w:r w:rsidR="009F5CAC" w:rsidRPr="001D7951">
        <w:rPr>
          <w:rFonts w:ascii="Times New Roman" w:hAnsi="Times New Roman" w:cs="Times New Roman"/>
          <w:color w:val="000000"/>
          <w:sz w:val="24"/>
          <w:szCs w:val="24"/>
        </w:rPr>
        <w:t xml:space="preserve"> mladih imaju </w:t>
      </w:r>
      <w:r w:rsidR="00965FA5">
        <w:rPr>
          <w:rFonts w:ascii="Times New Roman" w:hAnsi="Times New Roman" w:cs="Times New Roman"/>
          <w:b/>
          <w:color w:val="000000"/>
          <w:sz w:val="24"/>
          <w:szCs w:val="24"/>
        </w:rPr>
        <w:t>od navršenih</w:t>
      </w:r>
    </w:p>
    <w:p w:rsidR="00965FA5" w:rsidRDefault="005B6994" w:rsidP="00965FA5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A11B0">
        <w:rPr>
          <w:rFonts w:ascii="Times New Roman" w:hAnsi="Times New Roman" w:cs="Times New Roman"/>
          <w:b/>
          <w:color w:val="000000"/>
          <w:sz w:val="24"/>
          <w:szCs w:val="24"/>
        </w:rPr>
        <w:t>petnaest</w:t>
      </w:r>
      <w:r w:rsidR="00965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CAC" w:rsidRPr="00AA11B0">
        <w:rPr>
          <w:rFonts w:ascii="Times New Roman" w:hAnsi="Times New Roman" w:cs="Times New Roman"/>
          <w:b/>
          <w:color w:val="000000"/>
          <w:sz w:val="24"/>
          <w:szCs w:val="24"/>
        </w:rPr>
        <w:t>do navršenih trideset godina života</w:t>
      </w:r>
      <w:r w:rsidR="00E3778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D7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CAC" w:rsidRPr="001D7951">
        <w:rPr>
          <w:rFonts w:ascii="Times New Roman" w:hAnsi="Times New Roman" w:cs="Times New Roman"/>
          <w:color w:val="000000"/>
          <w:sz w:val="24"/>
          <w:szCs w:val="24"/>
        </w:rPr>
        <w:t>te kao takvi imaju pravo</w:t>
      </w:r>
      <w:r w:rsidR="00965FA5">
        <w:rPr>
          <w:rFonts w:ascii="Times New Roman" w:hAnsi="Times New Roman" w:cs="Times New Roman"/>
          <w:color w:val="000000"/>
          <w:sz w:val="24"/>
          <w:szCs w:val="24"/>
        </w:rPr>
        <w:t xml:space="preserve"> biti birani za člana</w:t>
      </w:r>
    </w:p>
    <w:p w:rsidR="00727D64" w:rsidRPr="001D7951" w:rsidRDefault="005B6994" w:rsidP="00965FA5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1D7951">
        <w:rPr>
          <w:rFonts w:ascii="Times New Roman" w:hAnsi="Times New Roman" w:cs="Times New Roman"/>
          <w:color w:val="000000"/>
          <w:sz w:val="24"/>
          <w:szCs w:val="24"/>
        </w:rPr>
        <w:t>savjeta i</w:t>
      </w:r>
      <w:r w:rsidR="00965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CAC" w:rsidRPr="001D7951">
        <w:rPr>
          <w:rFonts w:ascii="Times New Roman" w:hAnsi="Times New Roman" w:cs="Times New Roman"/>
          <w:color w:val="000000"/>
          <w:sz w:val="24"/>
          <w:szCs w:val="24"/>
        </w:rPr>
        <w:t>zamjenika člana savjeta“</w:t>
      </w:r>
    </w:p>
    <w:p w:rsidR="009F5CAC" w:rsidRPr="001D7951" w:rsidRDefault="009F5CAC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1D7951" w:rsidRPr="001D7951" w:rsidRDefault="001D7951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727D64" w:rsidRPr="001D7951" w:rsidRDefault="00727D64" w:rsidP="001D7951">
      <w:pPr>
        <w:pStyle w:val="Tijeloteksta1"/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727D64" w:rsidRPr="00303448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b/>
          <w:sz w:val="28"/>
          <w:szCs w:val="28"/>
        </w:rPr>
      </w:pPr>
      <w:r w:rsidRPr="00303448">
        <w:rPr>
          <w:rFonts w:ascii="Times New Roman" w:hAnsi="Times New Roman" w:cs="Times New Roman"/>
          <w:sz w:val="28"/>
          <w:szCs w:val="28"/>
        </w:rPr>
        <w:t xml:space="preserve"> </w:t>
      </w:r>
      <w:r w:rsidRPr="00303448">
        <w:rPr>
          <w:rFonts w:ascii="Times New Roman" w:hAnsi="Times New Roman" w:cs="Times New Roman"/>
          <w:b/>
          <w:sz w:val="28"/>
          <w:szCs w:val="28"/>
        </w:rPr>
        <w:t xml:space="preserve">IZBOR ČLANOVA SAVJETA MLADIH </w:t>
      </w:r>
    </w:p>
    <w:p w:rsidR="001D7951" w:rsidRPr="001D7951" w:rsidRDefault="001D7951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9F5CAC" w:rsidRPr="00303448" w:rsidRDefault="00727D64" w:rsidP="00A90522">
      <w:pPr>
        <w:pStyle w:val="Tijeloteksta1"/>
        <w:spacing w:line="240" w:lineRule="auto"/>
        <w:ind w:left="340" w:right="40"/>
        <w:jc w:val="center"/>
        <w:rPr>
          <w:rFonts w:ascii="Times New Roman" w:hAnsi="Times New Roman" w:cs="Times New Roman"/>
          <w:sz w:val="28"/>
          <w:szCs w:val="28"/>
        </w:rPr>
      </w:pPr>
      <w:r w:rsidRPr="00303448">
        <w:rPr>
          <w:rFonts w:ascii="Times New Roman" w:hAnsi="Times New Roman" w:cs="Times New Roman"/>
          <w:sz w:val="28"/>
          <w:szCs w:val="28"/>
        </w:rPr>
        <w:t xml:space="preserve">Članak </w:t>
      </w:r>
      <w:r w:rsidR="009F5CAC" w:rsidRPr="00303448">
        <w:rPr>
          <w:rFonts w:ascii="Times New Roman" w:hAnsi="Times New Roman" w:cs="Times New Roman"/>
          <w:sz w:val="28"/>
          <w:szCs w:val="28"/>
        </w:rPr>
        <w:t>3</w:t>
      </w:r>
    </w:p>
    <w:p w:rsidR="009F5CAC" w:rsidRPr="001D7951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AC" w:rsidRPr="001D7951" w:rsidRDefault="009F5CAC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Na temelju pisanih i obrazloženih kandidatura, članove savjeta mladih i njihove zamjenike bira </w:t>
      </w:r>
      <w:r w:rsidR="00E451DF" w:rsidRPr="001D7951">
        <w:rPr>
          <w:color w:val="000000"/>
        </w:rPr>
        <w:t>općinsko vijeće Općine Babina Greda</w:t>
      </w:r>
      <w:r w:rsidRPr="001D7951">
        <w:rPr>
          <w:color w:val="000000"/>
        </w:rPr>
        <w:t xml:space="preserve"> </w:t>
      </w:r>
      <w:r w:rsidR="00E3778B">
        <w:rPr>
          <w:color w:val="000000"/>
        </w:rPr>
        <w:t>na osnovu</w:t>
      </w:r>
      <w:r w:rsidR="00364FF9" w:rsidRPr="001D7951">
        <w:rPr>
          <w:color w:val="000000"/>
        </w:rPr>
        <w:t xml:space="preserve"> </w:t>
      </w:r>
      <w:r w:rsidR="00F7544F" w:rsidRPr="001D7951">
        <w:rPr>
          <w:color w:val="000000"/>
        </w:rPr>
        <w:t xml:space="preserve">ove </w:t>
      </w:r>
      <w:r w:rsidR="00364FF9" w:rsidRPr="001D7951">
        <w:rPr>
          <w:color w:val="000000"/>
        </w:rPr>
        <w:t>Odluke o osnivanju Savjeta mladih Općine Babina Greda</w:t>
      </w:r>
      <w:r w:rsidR="00F7544F" w:rsidRPr="001D7951">
        <w:rPr>
          <w:color w:val="000000"/>
        </w:rPr>
        <w:t>.</w:t>
      </w:r>
      <w:r w:rsidR="00364FF9" w:rsidRPr="001D7951">
        <w:rPr>
          <w:color w:val="000000"/>
        </w:rPr>
        <w:t xml:space="preserve"> </w:t>
      </w:r>
      <w:r w:rsidRPr="00C829E7">
        <w:rPr>
          <w:b/>
          <w:color w:val="000000"/>
        </w:rPr>
        <w:t>Kandidature</w:t>
      </w:r>
      <w:r w:rsidRPr="001D7951">
        <w:rPr>
          <w:color w:val="000000"/>
        </w:rPr>
        <w:t xml:space="preserve"> za članove savjeta mladih i njihove zamjenike temeljem javnog poziva za isticanje kandidatura </w:t>
      </w:r>
      <w:r w:rsidRPr="00C829E7">
        <w:rPr>
          <w:b/>
          <w:color w:val="000000"/>
        </w:rPr>
        <w:t>ističu udruge</w:t>
      </w:r>
      <w:r w:rsidRPr="001D7951">
        <w:rPr>
          <w:color w:val="000000"/>
        </w:rPr>
        <w:t xml:space="preserve"> koje su sukladno statutu ciljno i prema djelatnostima opredijeljene za rad s mladima i za mlade, </w:t>
      </w:r>
      <w:r w:rsidRPr="00C829E7">
        <w:rPr>
          <w:b/>
          <w:color w:val="000000"/>
        </w:rPr>
        <w:t xml:space="preserve">učenička vijeća, studentski zborovi, </w:t>
      </w:r>
      <w:r w:rsidRPr="00C829E7">
        <w:rPr>
          <w:b/>
          <w:color w:val="000000"/>
        </w:rPr>
        <w:lastRenderedPageBreak/>
        <w:t>pomladci političkih stranaka, sindikalnih ili strukovnih organizacija u Republici Hrvatskoj i neformalne skupine mladih.</w:t>
      </w:r>
    </w:p>
    <w:p w:rsidR="009F5CAC" w:rsidRPr="001D7951" w:rsidRDefault="009F5CAC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C829E7">
        <w:rPr>
          <w:b/>
          <w:color w:val="000000"/>
        </w:rPr>
        <w:t>Kada je</w:t>
      </w:r>
      <w:r w:rsidRPr="001D7951">
        <w:rPr>
          <w:color w:val="000000"/>
        </w:rPr>
        <w:t xml:space="preserve"> predlagatelj kandidature iz stavka 3. ovoga članka </w:t>
      </w:r>
      <w:r w:rsidRPr="00C829E7">
        <w:rPr>
          <w:b/>
          <w:color w:val="000000"/>
        </w:rPr>
        <w:t>neformalna skupina mladih</w:t>
      </w:r>
      <w:r w:rsidRPr="001D7951">
        <w:rPr>
          <w:color w:val="000000"/>
        </w:rPr>
        <w:t>, ona mora biti:</w:t>
      </w:r>
    </w:p>
    <w:p w:rsidR="009F5CAC" w:rsidRPr="00C829E7" w:rsidRDefault="009F5CAC" w:rsidP="001D7951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1D7951">
        <w:rPr>
          <w:color w:val="000000"/>
        </w:rPr>
        <w:t xml:space="preserve">– u jedinicama lokalne samouprave koje imaju od 3 001 do 10.000 stanovnika, </w:t>
      </w:r>
      <w:r w:rsidRPr="00C829E7">
        <w:rPr>
          <w:b/>
          <w:color w:val="000000"/>
        </w:rPr>
        <w:t>skupina od najmanje 20 mladih</w:t>
      </w:r>
    </w:p>
    <w:p w:rsidR="001D7951" w:rsidRPr="001D7951" w:rsidRDefault="001D7951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1D7951" w:rsidRPr="001D7951" w:rsidRDefault="001D7951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1D7951" w:rsidRPr="00303448" w:rsidRDefault="001D7951" w:rsidP="001D7951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4.</w:t>
      </w:r>
    </w:p>
    <w:p w:rsidR="001D7951" w:rsidRPr="001D7951" w:rsidRDefault="001D7951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3547A" w:rsidRPr="001D7951" w:rsidRDefault="0053547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Postupak izbora za članove Savjeta mladih počinje objavom javnog poziva za isticanje kandidatura sukladno Zakonu o Savjetu mladih („ Narodne novine“ br. 41/14).</w:t>
      </w:r>
    </w:p>
    <w:p w:rsidR="00E0438D" w:rsidRPr="00AA11B0" w:rsidRDefault="00E0438D" w:rsidP="001D7951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AA11B0">
        <w:rPr>
          <w:b/>
          <w:color w:val="000000"/>
        </w:rPr>
        <w:t>Javni se poziv</w:t>
      </w:r>
      <w:r w:rsidRPr="001D7951">
        <w:rPr>
          <w:color w:val="000000"/>
        </w:rPr>
        <w:t xml:space="preserve"> za isticanje kandidatura </w:t>
      </w:r>
      <w:r w:rsidRPr="00AA11B0">
        <w:rPr>
          <w:b/>
          <w:color w:val="000000"/>
        </w:rPr>
        <w:t>objavljuje</w:t>
      </w:r>
      <w:r w:rsidR="00E3778B">
        <w:rPr>
          <w:color w:val="000000"/>
        </w:rPr>
        <w:t xml:space="preserve"> </w:t>
      </w:r>
      <w:r w:rsidRPr="00AA11B0">
        <w:rPr>
          <w:b/>
          <w:color w:val="000000"/>
        </w:rPr>
        <w:t>na</w:t>
      </w:r>
      <w:r w:rsidRPr="001D7951">
        <w:rPr>
          <w:color w:val="000000"/>
        </w:rPr>
        <w:t xml:space="preserve"> mrežnim stranicama Općine Babina Greda</w:t>
      </w:r>
      <w:r w:rsidRPr="00AA11B0">
        <w:rPr>
          <w:b/>
          <w:color w:val="000000"/>
        </w:rPr>
        <w:t xml:space="preserve">, </w:t>
      </w:r>
      <w:hyperlink r:id="rId10" w:history="1">
        <w:r w:rsidRPr="00AA11B0">
          <w:rPr>
            <w:rStyle w:val="Hiperveza"/>
            <w:b/>
          </w:rPr>
          <w:t>www.babinagreda.hr</w:t>
        </w:r>
      </w:hyperlink>
      <w:r w:rsidRPr="00AA11B0">
        <w:rPr>
          <w:b/>
          <w:color w:val="000000"/>
        </w:rPr>
        <w:t xml:space="preserve"> te u sredstvima javnog priopćavanja.</w:t>
      </w:r>
    </w:p>
    <w:p w:rsidR="0053547A" w:rsidRPr="001D7951" w:rsidRDefault="0053547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Nakon zaprimanja kandidatura za članove i zamjenike članova savjeta mladih, Jedinstveni upravni odjel Općine Babina Greda, u nastavku JUO; obavlja provjeru formalnih uvjeta prijavljenih kandidata te u roku od 15 dana od isteka roka za podnošenje prijava, sastavlja izvješće o provjeri formalnih uvjeta te utvrđuje popis važećih kandidatura.</w:t>
      </w:r>
    </w:p>
    <w:p w:rsidR="0053547A" w:rsidRPr="001D7951" w:rsidRDefault="0053547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Izvješće o provjeri formalnih uvjeta i popis važećih kandidatura JUO dostavlja </w:t>
      </w:r>
      <w:r w:rsidR="00E3778B">
        <w:rPr>
          <w:color w:val="000000"/>
        </w:rPr>
        <w:t xml:space="preserve">se </w:t>
      </w:r>
      <w:r w:rsidRPr="001D7951">
        <w:rPr>
          <w:color w:val="000000"/>
        </w:rPr>
        <w:t>općinskom</w:t>
      </w:r>
      <w:r w:rsidR="00E3778B">
        <w:rPr>
          <w:color w:val="000000"/>
        </w:rPr>
        <w:t xml:space="preserve"> vijeću</w:t>
      </w:r>
      <w:r w:rsidRPr="001D7951">
        <w:rPr>
          <w:color w:val="000000"/>
        </w:rPr>
        <w:t xml:space="preserve"> te se objavljuju na mrežnim </w:t>
      </w:r>
      <w:r w:rsidR="00E3778B">
        <w:rPr>
          <w:color w:val="000000"/>
        </w:rPr>
        <w:t xml:space="preserve">stranicama </w:t>
      </w:r>
      <w:r w:rsidRPr="001D7951">
        <w:rPr>
          <w:color w:val="000000"/>
        </w:rPr>
        <w:t>općine</w:t>
      </w:r>
      <w:r w:rsidR="00E3778B">
        <w:rPr>
          <w:color w:val="000000"/>
        </w:rPr>
        <w:t xml:space="preserve">, </w:t>
      </w:r>
      <w:hyperlink r:id="rId11" w:history="1">
        <w:r w:rsidR="00E3778B" w:rsidRPr="001F21E6">
          <w:rPr>
            <w:rStyle w:val="Hiperveza"/>
          </w:rPr>
          <w:t>www.babinagreda.hr</w:t>
        </w:r>
      </w:hyperlink>
      <w:r w:rsidR="00E3778B">
        <w:rPr>
          <w:color w:val="000000"/>
        </w:rPr>
        <w:t xml:space="preserve"> ,</w:t>
      </w:r>
      <w:r w:rsidRPr="001D7951">
        <w:rPr>
          <w:color w:val="000000"/>
        </w:rPr>
        <w:t>i u sredstvima javnog priopćavanja.</w:t>
      </w:r>
    </w:p>
    <w:p w:rsidR="001D7951" w:rsidRPr="001D7951" w:rsidRDefault="001D7951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1D7951" w:rsidRPr="001D7951" w:rsidRDefault="001D7951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1D7951" w:rsidRPr="00303448" w:rsidRDefault="001D7951" w:rsidP="001D7951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5.</w:t>
      </w:r>
    </w:p>
    <w:p w:rsidR="001D7951" w:rsidRPr="001D7951" w:rsidRDefault="001D7951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42CC0" w:rsidRPr="00A13DF6" w:rsidRDefault="00042CC0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A13DF6">
        <w:rPr>
          <w:b/>
          <w:color w:val="000000"/>
        </w:rPr>
        <w:t>Prijedlog kandidata podnosi</w:t>
      </w:r>
      <w:r w:rsidRPr="00A13DF6">
        <w:rPr>
          <w:color w:val="000000"/>
        </w:rPr>
        <w:t xml:space="preserve"> se JUO</w:t>
      </w:r>
      <w:r w:rsidR="00773960" w:rsidRPr="00A13DF6">
        <w:rPr>
          <w:color w:val="000000"/>
        </w:rPr>
        <w:t xml:space="preserve"> (</w:t>
      </w:r>
      <w:r w:rsidR="00773960" w:rsidRPr="00A13DF6">
        <w:rPr>
          <w:b/>
          <w:color w:val="000000"/>
        </w:rPr>
        <w:t>Općina Babina Greda, Jedinstveni upravni odjel, Vladimira Nazora 3, 32 276 Babina Greda</w:t>
      </w:r>
      <w:r w:rsidR="00773960" w:rsidRPr="00A13DF6">
        <w:rPr>
          <w:color w:val="000000"/>
        </w:rPr>
        <w:t xml:space="preserve">), </w:t>
      </w:r>
      <w:r w:rsidRPr="00A13DF6">
        <w:rPr>
          <w:color w:val="000000"/>
        </w:rPr>
        <w:t xml:space="preserve">u roku od </w:t>
      </w:r>
      <w:r w:rsidRPr="00A13DF6">
        <w:rPr>
          <w:b/>
          <w:color w:val="000000"/>
        </w:rPr>
        <w:t>15 dana od dana objave javnog poziva</w:t>
      </w:r>
      <w:r w:rsidRPr="00A13DF6">
        <w:rPr>
          <w:color w:val="000000"/>
        </w:rPr>
        <w:t xml:space="preserve"> na mrežnoj stranici i u sredstvima javnog priopćavanja.</w:t>
      </w:r>
    </w:p>
    <w:p w:rsidR="001D7951" w:rsidRPr="001D7951" w:rsidRDefault="001D7951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Javni poziv iz stavka 1. ovoga članka mora sadržavati opis postupka izbora sukladno Zakonu o Savjetu mladih („ Narodne novine“ br. 41/14), uvjete za isticanje kandidatura propisane ovim Zakonom, rokove za prijavu i rokove u kojima će biti provedena provjera zadovoljavanja formalnih uvjeta prijavljenih kandidata te izbor članova i zamjenika članova savjeta mladih.</w:t>
      </w:r>
    </w:p>
    <w:p w:rsidR="001D7951" w:rsidRPr="001D7951" w:rsidRDefault="001D7951" w:rsidP="001D7951">
      <w:pPr>
        <w:pStyle w:val="t-9-8"/>
        <w:spacing w:before="0" w:beforeAutospacing="0" w:after="0" w:afterAutospacing="0"/>
        <w:jc w:val="both"/>
        <w:rPr>
          <w:b/>
          <w:color w:val="000000"/>
        </w:rPr>
      </w:pPr>
    </w:p>
    <w:p w:rsidR="001D7951" w:rsidRPr="001D7951" w:rsidRDefault="001D7951" w:rsidP="001D7951">
      <w:pPr>
        <w:pStyle w:val="t-9-8"/>
        <w:spacing w:before="0" w:beforeAutospacing="0" w:after="0" w:afterAutospacing="0"/>
        <w:jc w:val="both"/>
        <w:rPr>
          <w:b/>
          <w:color w:val="000000"/>
        </w:rPr>
      </w:pPr>
    </w:p>
    <w:p w:rsidR="001D7951" w:rsidRPr="00303448" w:rsidRDefault="001D7951" w:rsidP="001D7951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6.</w:t>
      </w:r>
    </w:p>
    <w:p w:rsidR="001D7951" w:rsidRPr="001D7951" w:rsidRDefault="001D7951" w:rsidP="001D7951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53547A" w:rsidRPr="001D7951" w:rsidRDefault="001D7951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Izvješće o provjeri formalnih uvjeta i popis važećih kandidatura dostavljaju se </w:t>
      </w:r>
      <w:r>
        <w:rPr>
          <w:color w:val="000000"/>
        </w:rPr>
        <w:t xml:space="preserve">općinskom vijeću Općine </w:t>
      </w:r>
      <w:r w:rsidR="000E7DF4">
        <w:rPr>
          <w:color w:val="000000"/>
        </w:rPr>
        <w:t>B</w:t>
      </w:r>
      <w:r>
        <w:rPr>
          <w:color w:val="000000"/>
        </w:rPr>
        <w:t>abina Greda,</w:t>
      </w:r>
      <w:r w:rsidR="000E7DF4">
        <w:rPr>
          <w:color w:val="000000"/>
        </w:rPr>
        <w:t xml:space="preserve"> u roku od 15 dana od isteka roka za predaju prijedloga kandidata,</w:t>
      </w:r>
      <w:r w:rsidRPr="001D7951">
        <w:rPr>
          <w:color w:val="000000"/>
        </w:rPr>
        <w:t xml:space="preserve"> te se objavljuju na mrežnim stranicama </w:t>
      </w:r>
      <w:r w:rsidR="000E7DF4">
        <w:rPr>
          <w:color w:val="000000"/>
        </w:rPr>
        <w:t>Općine B</w:t>
      </w:r>
      <w:r>
        <w:rPr>
          <w:color w:val="000000"/>
        </w:rPr>
        <w:t xml:space="preserve">abina Greda, </w:t>
      </w:r>
      <w:hyperlink r:id="rId12" w:history="1">
        <w:r w:rsidRPr="00D46673">
          <w:rPr>
            <w:rStyle w:val="Hiperveza"/>
          </w:rPr>
          <w:t>www.babinagreda.hr</w:t>
        </w:r>
      </w:hyperlink>
      <w:r w:rsidR="00A53F54">
        <w:rPr>
          <w:color w:val="000000"/>
        </w:rPr>
        <w:t xml:space="preserve"> i</w:t>
      </w:r>
      <w:r w:rsidRPr="001D7951">
        <w:rPr>
          <w:color w:val="000000"/>
        </w:rPr>
        <w:t xml:space="preserve"> u sredstvima javnog priopćavanja.</w:t>
      </w:r>
      <w:r>
        <w:rPr>
          <w:color w:val="000000"/>
        </w:rPr>
        <w:t xml:space="preserve"> </w:t>
      </w:r>
      <w:r w:rsidR="0053547A" w:rsidRPr="001D7951">
        <w:rPr>
          <w:color w:val="000000"/>
        </w:rPr>
        <w:t>Općinsko vijeće na prvoj sjednici nakon objave popisa važećih kandidatura raspravlja izvješće o provjeri formalnih uvjeta i s popisa važećih kandidatura za članove i zamjenike članova savjeta mladih</w:t>
      </w:r>
      <w:r w:rsidR="00A53F54">
        <w:rPr>
          <w:color w:val="000000"/>
        </w:rPr>
        <w:t xml:space="preserve"> </w:t>
      </w:r>
      <w:r w:rsidR="0053547A" w:rsidRPr="001D7951">
        <w:rPr>
          <w:color w:val="000000"/>
        </w:rPr>
        <w:t>tajnim glasovanjem bira članove i zamjenike članova savjeta mladih.</w:t>
      </w:r>
    </w:p>
    <w:p w:rsidR="0053547A" w:rsidRPr="001D7951" w:rsidRDefault="0053547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Glasovanje se obavlja zaokruživanjem broja ispred onoliko kandidata na listiću koliko po odluci o osnivanju savjeta mladih ima članova savjeta mladih.</w:t>
      </w:r>
    </w:p>
    <w:p w:rsidR="00CB6064" w:rsidRDefault="0053547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U slučaju da nije moguće izabrati savjet mladih zbog dva ili više kandidata s jednakim brojem glasova, glasovanje se ponavlja za izbor kandidata do punog broja članova savjeta mladih </w:t>
      </w:r>
      <w:r w:rsidRPr="001D7951">
        <w:rPr>
          <w:color w:val="000000"/>
        </w:rPr>
        <w:lastRenderedPageBreak/>
        <w:t>između onih kandidata koji u prvom krugu nisu izabrani jer su imali jednak broj glasova. Glasovanje se ponavlja dok se ne izaberu svi članovi savjeta mladih.</w:t>
      </w:r>
    </w:p>
    <w:p w:rsidR="000E7DF4" w:rsidRDefault="000E7DF4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E7DF4" w:rsidRDefault="000E7DF4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891A78" w:rsidRDefault="00891A78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E7DF4" w:rsidRPr="00303448" w:rsidRDefault="000E7DF4" w:rsidP="000E7DF4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7.</w:t>
      </w:r>
    </w:p>
    <w:p w:rsidR="000E7DF4" w:rsidRPr="001D7951" w:rsidRDefault="000E7DF4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6D63AD" w:rsidRPr="001D7951" w:rsidRDefault="00CB6064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Javni poziv za isticanje kandidatura mora se objaviti na mrežnim stranicama općine te u sredstvima javnog priopćavanja, najmanje tri mjeseca prije isteka mandata članova savjeta mladih.</w:t>
      </w:r>
    </w:p>
    <w:p w:rsidR="006D63AD" w:rsidRPr="001D7951" w:rsidRDefault="006D63AD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Rezultati izbora za članove i zamjenike članova savjeta mladih objavljuju se na mrežnim stranicama općine, te u sredstvima javnog priopćavanja.</w:t>
      </w:r>
    </w:p>
    <w:p w:rsidR="006D63AD" w:rsidRPr="001D7951" w:rsidRDefault="00394117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9A204F">
        <w:rPr>
          <w:b/>
          <w:color w:val="000000"/>
        </w:rPr>
        <w:t>Savjet mladih je konstituiran izborom predsjednika savjeta mladih.</w:t>
      </w:r>
      <w:r w:rsidRPr="001D7951">
        <w:rPr>
          <w:color w:val="000000"/>
        </w:rPr>
        <w:t xml:space="preserve"> </w:t>
      </w:r>
      <w:r w:rsidR="006D63AD" w:rsidRPr="001D7951">
        <w:rPr>
          <w:color w:val="000000"/>
        </w:rPr>
        <w:t>Savjet mladih mora se konstituirati u roku od 30 dana od dana objave rezultata izbora.</w:t>
      </w:r>
    </w:p>
    <w:p w:rsidR="00974E6F" w:rsidRDefault="006D63AD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Prvu sjednicu savjeta mladih dužan je sazvati predsjednik </w:t>
      </w:r>
      <w:r w:rsidR="00974E6F" w:rsidRPr="001D7951">
        <w:rPr>
          <w:color w:val="000000"/>
        </w:rPr>
        <w:t xml:space="preserve">općinskog vijeća Općine Babina Greda. </w:t>
      </w:r>
    </w:p>
    <w:p w:rsidR="00EC7F7B" w:rsidRPr="001D7951" w:rsidRDefault="00EC7F7B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E7DF4" w:rsidRPr="001D7951" w:rsidRDefault="000E7DF4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B0732" w:rsidRPr="001D7951" w:rsidRDefault="004B0732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802D0D" w:rsidRPr="00303448" w:rsidRDefault="00802D0D" w:rsidP="001D7951">
      <w:pPr>
        <w:pStyle w:val="t-11-9-sre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3448">
        <w:rPr>
          <w:b/>
          <w:color w:val="000000"/>
          <w:sz w:val="28"/>
          <w:szCs w:val="28"/>
        </w:rPr>
        <w:t>MANDAT ČLANOVA SAVJETA MLADIH</w:t>
      </w:r>
    </w:p>
    <w:p w:rsidR="00802D0D" w:rsidRPr="001D7951" w:rsidRDefault="00802D0D" w:rsidP="001D7951">
      <w:pPr>
        <w:pStyle w:val="t-11-9-sred"/>
        <w:spacing w:before="0" w:beforeAutospacing="0" w:after="0" w:afterAutospacing="0"/>
        <w:rPr>
          <w:b/>
          <w:color w:val="000000"/>
        </w:rPr>
      </w:pPr>
    </w:p>
    <w:p w:rsidR="00802D0D" w:rsidRPr="00303448" w:rsidRDefault="00802D0D" w:rsidP="001D7951">
      <w:pPr>
        <w:pStyle w:val="clanak-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 xml:space="preserve">Članak </w:t>
      </w:r>
      <w:r w:rsidR="000E7DF4" w:rsidRPr="00303448">
        <w:rPr>
          <w:color w:val="000000"/>
          <w:sz w:val="28"/>
          <w:szCs w:val="28"/>
        </w:rPr>
        <w:t>8</w:t>
      </w:r>
      <w:r w:rsidRPr="00303448">
        <w:rPr>
          <w:color w:val="000000"/>
          <w:sz w:val="28"/>
          <w:szCs w:val="28"/>
        </w:rPr>
        <w:t>.</w:t>
      </w:r>
    </w:p>
    <w:p w:rsidR="00802D0D" w:rsidRPr="001D7951" w:rsidRDefault="00802D0D" w:rsidP="001D7951">
      <w:pPr>
        <w:pStyle w:val="clanak-"/>
        <w:spacing w:before="0" w:beforeAutospacing="0" w:after="0" w:afterAutospacing="0"/>
        <w:jc w:val="center"/>
        <w:rPr>
          <w:color w:val="000000"/>
        </w:rPr>
      </w:pPr>
    </w:p>
    <w:p w:rsidR="00873B9C" w:rsidRDefault="00802D0D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Članovi savjeta mladih i njihovi zamjenici biraju se na razdoblje od </w:t>
      </w:r>
      <w:r w:rsidRPr="00EE4929">
        <w:rPr>
          <w:b/>
          <w:color w:val="000000"/>
        </w:rPr>
        <w:t>tri godine.</w:t>
      </w:r>
    </w:p>
    <w:p w:rsidR="000C5D1A" w:rsidRDefault="000C5D1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Mandat zamjenika člana savjeta mladih vezan je uz mandat člana savjeta mladih. Mandat zamjenika člana savjeta mladih prestaje prestankom mandata člana savjeta mladih sukladno ovom Zakonu.</w:t>
      </w:r>
    </w:p>
    <w:p w:rsidR="005206F3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206F3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206F3" w:rsidRPr="00303448" w:rsidRDefault="005206F3" w:rsidP="005206F3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9.</w:t>
      </w:r>
    </w:p>
    <w:p w:rsidR="005206F3" w:rsidRPr="001D7951" w:rsidRDefault="005206F3" w:rsidP="005206F3">
      <w:pPr>
        <w:pStyle w:val="t-9-8"/>
        <w:spacing w:before="0" w:beforeAutospacing="0" w:after="0" w:afterAutospacing="0"/>
        <w:jc w:val="center"/>
        <w:rPr>
          <w:color w:val="000000"/>
        </w:rPr>
      </w:pPr>
    </w:p>
    <w:p w:rsidR="000C5D1A" w:rsidRPr="001D7951" w:rsidRDefault="0056694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Općinsko vijeće</w:t>
      </w:r>
      <w:r w:rsidR="000C5D1A" w:rsidRPr="001D7951">
        <w:rPr>
          <w:color w:val="000000"/>
        </w:rPr>
        <w:t xml:space="preserve"> razriješit će člana savjeta mladih i prije isteka mandata ako neopravdano izostane s najmanje 50 % sjednica savjeta mladih u godini dana te na osobni zahtjev člana savjeta mladih.</w:t>
      </w:r>
    </w:p>
    <w:p w:rsidR="000C5D1A" w:rsidRPr="001D7951" w:rsidRDefault="000C5D1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Član savjeta mladih koji za vrijeme trajanja mandata navrši trideset godina nastavlja s radom u savjetu mladih do isteka mandata na koji je izabran.</w:t>
      </w:r>
    </w:p>
    <w:p w:rsidR="000C5D1A" w:rsidRPr="001D7951" w:rsidRDefault="000C5D1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Ako se broj članova savjeta mladih spusti ispod dvije trećine početnog broja, </w:t>
      </w:r>
      <w:r w:rsidR="00566945" w:rsidRPr="001D7951">
        <w:rPr>
          <w:color w:val="000000"/>
        </w:rPr>
        <w:t>općinsko vijeće</w:t>
      </w:r>
      <w:r w:rsidRPr="001D7951">
        <w:rPr>
          <w:color w:val="000000"/>
        </w:rPr>
        <w:t xml:space="preserve"> će provesti postupak dodatnog izbora za onoliko članova savjeta mladih koliko ih je prestalo biti članom savjeta mladih prije isteka mandata. Na postupak dodatnog izbora odgov</w:t>
      </w:r>
      <w:r w:rsidR="00C52F99" w:rsidRPr="001D7951">
        <w:rPr>
          <w:color w:val="000000"/>
        </w:rPr>
        <w:t>arajuće se primjenjuju odredbe ove Odluke</w:t>
      </w:r>
      <w:r w:rsidRPr="001D7951">
        <w:rPr>
          <w:color w:val="000000"/>
        </w:rPr>
        <w:t xml:space="preserve"> koje se odnose na izbor članova savjeta mladih.</w:t>
      </w:r>
    </w:p>
    <w:p w:rsidR="000C5D1A" w:rsidRPr="001D7951" w:rsidRDefault="000C5D1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Mandat članova savjeta mladih izabranih postupkom dodatnog izbora traje do isteka mandata članova savjeta mladih izabranih u redovitom postupku biranja članova savjeta mladih.</w:t>
      </w:r>
    </w:p>
    <w:p w:rsidR="000C5D1A" w:rsidRPr="001D7951" w:rsidRDefault="00C52F99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Općinsko vijeće</w:t>
      </w:r>
      <w:r w:rsidR="000C5D1A" w:rsidRPr="001D7951">
        <w:rPr>
          <w:color w:val="000000"/>
        </w:rPr>
        <w:t xml:space="preserve"> raspustit će savjet mladih samo ako savjet mladih ne održi sjednicu dulje od šest mjeseci.</w:t>
      </w:r>
    </w:p>
    <w:p w:rsidR="00C52F99" w:rsidRPr="001D7951" w:rsidRDefault="00C52F99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B7694" w:rsidRPr="001D7951" w:rsidRDefault="004B7694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B7694" w:rsidRPr="001D7951" w:rsidRDefault="004B7694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B7694" w:rsidRPr="00303448" w:rsidRDefault="004B7694" w:rsidP="001D7951">
      <w:pPr>
        <w:pStyle w:val="t-9-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448">
        <w:rPr>
          <w:b/>
          <w:color w:val="000000"/>
          <w:sz w:val="28"/>
          <w:szCs w:val="28"/>
        </w:rPr>
        <w:t>DJELOKRUG RADA SAVJETA MLADIH</w:t>
      </w:r>
    </w:p>
    <w:p w:rsidR="004E7987" w:rsidRPr="001D7951" w:rsidRDefault="004E7987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B7694" w:rsidRPr="00303448" w:rsidRDefault="004B7694" w:rsidP="001D7951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 xml:space="preserve">Članak </w:t>
      </w:r>
      <w:r w:rsidR="005206F3" w:rsidRPr="00303448">
        <w:rPr>
          <w:color w:val="000000"/>
          <w:sz w:val="28"/>
          <w:szCs w:val="28"/>
        </w:rPr>
        <w:t>10</w:t>
      </w:r>
      <w:r w:rsidRPr="00303448">
        <w:rPr>
          <w:color w:val="000000"/>
          <w:sz w:val="28"/>
          <w:szCs w:val="28"/>
        </w:rPr>
        <w:t>.</w:t>
      </w:r>
    </w:p>
    <w:p w:rsidR="00C93D6B" w:rsidRPr="001D7951" w:rsidRDefault="00C93D6B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        Savjet mladih: </w:t>
      </w:r>
    </w:p>
    <w:p w:rsidR="00C93D6B" w:rsidRPr="001D7951" w:rsidRDefault="00C93D6B" w:rsidP="001D7951">
      <w:pPr>
        <w:pStyle w:val="Tijeloteksta1"/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raspravlja o pitanjima značajnim za rad Savjeta mladih,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raspravlja na sjednicama o pitanjima iz djelokruga rada Općinskog vijeća koja su od interesa za mlade,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predlaže Općinskom vijeću donošenje odluka, programa i drugih akata od značaja za </w:t>
      </w:r>
    </w:p>
    <w:p w:rsidR="00C93D6B" w:rsidRPr="001D7951" w:rsidRDefault="00C93D6B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           unapređenje položaja mladih,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predlaže Općinskom vijeću raspravu o pojedinim pitanjima od značaja za mlade te način rješavanja navedenih pitanja,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daje mišljenje Općinskom vijeću prilikom donošenja odluka, mjera, programa i drugih akata od osobitog značenja za mlade,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sudjeluje u izradi i praćenju provedbe lokalnog programa djelovanja za mlade,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izrađuje izvješća nadležnim tijelima o problemima mladih, a po potrebi predlaže i donošenje programa za otklanjanje nastalih problema i poboljšanje položaja mladih,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predlaže mjere za ostvarivanje i provedbu odluka i programa o skrbi za mlade,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skrbi o informiranosti mladih o svim pitanjima značajnim za unapređivanje položaja mladih,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potiče suradnju savjeta mladih općina, gradova i županija u RH te suradnju s </w:t>
      </w:r>
    </w:p>
    <w:p w:rsidR="00C93D6B" w:rsidRPr="001D7951" w:rsidRDefault="00C93D6B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           odgovarajućim tijelima drugih zemalja,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predlaže Općinskom vijeću financijski plan radi ostvarivanja programa rada Savjeta </w:t>
      </w:r>
    </w:p>
    <w:p w:rsidR="00C93D6B" w:rsidRPr="001D7951" w:rsidRDefault="00C93D6B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            mladih,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po potrebi poziva predstavnike Općine Babina Greda na sjednice Savjeta mladih, </w:t>
      </w:r>
    </w:p>
    <w:p w:rsidR="00C93D6B" w:rsidRPr="001D7951" w:rsidRDefault="00C93D6B" w:rsidP="001D7951">
      <w:pPr>
        <w:pStyle w:val="Tijeloteksta1"/>
        <w:numPr>
          <w:ilvl w:val="0"/>
          <w:numId w:val="1"/>
        </w:numPr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obavlja i druge poslove od interesa za mlade. </w:t>
      </w:r>
    </w:p>
    <w:p w:rsidR="004B7694" w:rsidRPr="001D7951" w:rsidRDefault="004B7694" w:rsidP="001D7951">
      <w:pPr>
        <w:pStyle w:val="t-9-8"/>
        <w:spacing w:before="0" w:beforeAutospacing="0" w:after="0" w:afterAutospacing="0"/>
        <w:rPr>
          <w:color w:val="000000"/>
        </w:rPr>
      </w:pPr>
    </w:p>
    <w:p w:rsidR="00E451DF" w:rsidRPr="001D7951" w:rsidRDefault="00E451DF" w:rsidP="001D7951">
      <w:pPr>
        <w:pStyle w:val="Tijeloteksta1"/>
        <w:spacing w:line="240" w:lineRule="auto"/>
        <w:ind w:right="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340F" w:rsidRPr="001D7951" w:rsidRDefault="00D8340F" w:rsidP="001D7951">
      <w:pPr>
        <w:pStyle w:val="Tijeloteksta1"/>
        <w:spacing w:line="240" w:lineRule="auto"/>
        <w:ind w:right="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340F" w:rsidRPr="00303448" w:rsidRDefault="000E0C4E" w:rsidP="001D7951">
      <w:pPr>
        <w:pStyle w:val="Tijeloteksta1"/>
        <w:spacing w:line="240" w:lineRule="auto"/>
        <w:ind w:right="4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03448">
        <w:rPr>
          <w:rFonts w:ascii="Times New Roman" w:hAnsi="Times New Roman" w:cs="Times New Roman"/>
          <w:b/>
          <w:color w:val="000000"/>
          <w:sz w:val="28"/>
          <w:szCs w:val="28"/>
        </w:rPr>
        <w:t>NAČIN RADA SAVJETA MLADIH</w:t>
      </w:r>
    </w:p>
    <w:p w:rsidR="00D8340F" w:rsidRPr="001D7951" w:rsidRDefault="00D8340F" w:rsidP="001D7951">
      <w:pPr>
        <w:pStyle w:val="Tijeloteksta1"/>
        <w:spacing w:line="240" w:lineRule="auto"/>
        <w:ind w:right="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340F" w:rsidRPr="00303448" w:rsidRDefault="003C28E7" w:rsidP="001D7951">
      <w:pPr>
        <w:pStyle w:val="Tijeloteksta1"/>
        <w:spacing w:line="240" w:lineRule="auto"/>
        <w:ind w:right="4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303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Članak </w:t>
      </w:r>
      <w:r w:rsidR="005206F3" w:rsidRPr="00303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11</w:t>
      </w:r>
      <w:r w:rsidRPr="00303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3C28E7" w:rsidRPr="001D7951" w:rsidRDefault="003C28E7" w:rsidP="001D7951">
      <w:pPr>
        <w:pStyle w:val="Tijeloteksta1"/>
        <w:spacing w:line="240" w:lineRule="auto"/>
        <w:ind w:right="4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Savjet mladih održava redovite sjednice najmanje jednom svaka tri mjeseca, a po potrebi i češće.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Sjednice savjeta mladih saziva i njima predsjeda predsjednik savjeta mladih.</w:t>
      </w:r>
    </w:p>
    <w:p w:rsidR="00D8340F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Predsjednik savjeta mladih dužan je sazvati izvanrednu sjednicu savjeta mladih na prijedlog najmanje 1/3 članova savjeta mladih.</w:t>
      </w:r>
    </w:p>
    <w:p w:rsidR="005206F3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206F3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206F3" w:rsidRPr="00303448" w:rsidRDefault="005206F3" w:rsidP="005206F3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12.</w:t>
      </w:r>
    </w:p>
    <w:p w:rsidR="005206F3" w:rsidRPr="001D7951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Savjet mladih donosi poslovnik o radu.</w:t>
      </w:r>
    </w:p>
    <w:p w:rsidR="000E0C4E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Poslovnik o radu savjet mladih donosi većinom glaso</w:t>
      </w:r>
      <w:r w:rsidR="000E0C4E" w:rsidRPr="001D7951">
        <w:rPr>
          <w:color w:val="000000"/>
        </w:rPr>
        <w:t>va svih članova savjeta mladih.</w:t>
      </w:r>
    </w:p>
    <w:p w:rsidR="00D8340F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Poslovnikom o radu pobliže se uređuje način rada</w:t>
      </w:r>
      <w:r w:rsidR="003C28E7" w:rsidRPr="001D7951">
        <w:rPr>
          <w:color w:val="000000"/>
        </w:rPr>
        <w:t xml:space="preserve"> savjeta mladih u skladu s </w:t>
      </w:r>
      <w:r w:rsidRPr="001D7951">
        <w:rPr>
          <w:color w:val="000000"/>
        </w:rPr>
        <w:t>Zakonom</w:t>
      </w:r>
      <w:r w:rsidR="003C28E7" w:rsidRPr="001D7951">
        <w:rPr>
          <w:color w:val="000000"/>
        </w:rPr>
        <w:t xml:space="preserve"> o Savjetu mladih („Narodne novine“ br. 41/14, u nastavku Zakon),</w:t>
      </w:r>
      <w:r w:rsidRPr="001D7951">
        <w:rPr>
          <w:color w:val="000000"/>
        </w:rPr>
        <w:t xml:space="preserve"> i </w:t>
      </w:r>
      <w:r w:rsidR="003C28E7" w:rsidRPr="001D7951">
        <w:rPr>
          <w:color w:val="000000"/>
        </w:rPr>
        <w:t xml:space="preserve">ovom </w:t>
      </w:r>
      <w:r w:rsidRPr="001D7951">
        <w:rPr>
          <w:color w:val="000000"/>
        </w:rPr>
        <w:t>odlukom o osnivanju savjeta mladih.</w:t>
      </w:r>
    </w:p>
    <w:p w:rsidR="005206F3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206F3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206F3" w:rsidRPr="00303448" w:rsidRDefault="005206F3" w:rsidP="005206F3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lastRenderedPageBreak/>
        <w:t>Članak 13.</w:t>
      </w:r>
    </w:p>
    <w:p w:rsidR="005206F3" w:rsidRPr="001D7951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Savjet mladih donosi odluke većinom glasova ako je na sjednici nazočna većina član</w:t>
      </w:r>
      <w:r w:rsidR="003C28E7" w:rsidRPr="001D7951">
        <w:rPr>
          <w:color w:val="000000"/>
        </w:rPr>
        <w:t>ova savjeta mladih, osim ako ovom</w:t>
      </w:r>
      <w:r w:rsidRPr="001D7951">
        <w:rPr>
          <w:color w:val="000000"/>
        </w:rPr>
        <w:t xml:space="preserve"> </w:t>
      </w:r>
      <w:r w:rsidR="003C28E7" w:rsidRPr="001D7951">
        <w:rPr>
          <w:color w:val="000000"/>
        </w:rPr>
        <w:t>odlukom</w:t>
      </w:r>
      <w:r w:rsidRPr="001D7951">
        <w:rPr>
          <w:color w:val="000000"/>
        </w:rPr>
        <w:t xml:space="preserve"> nije drukčije određeno.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Član savjeta mladih, odnosno njegov zamjenik koji je neposredno osobno zainteresiran za donošenje odluke o nekom pitanju može sudjelovati u raspravi o tom pitanju, ali je izuzet od odlučivanja.</w:t>
      </w:r>
    </w:p>
    <w:p w:rsidR="00D8340F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Smatra se da je član savjeta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upravljanja.</w:t>
      </w:r>
    </w:p>
    <w:p w:rsidR="005206F3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206F3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206F3" w:rsidRPr="00303448" w:rsidRDefault="005206F3" w:rsidP="005206F3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14.</w:t>
      </w:r>
    </w:p>
    <w:p w:rsidR="005206F3" w:rsidRPr="001D7951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Ako je član savjeta mladih spriječen sudjelovati na sjednici savjeta mladih, zamjenjuje ga njegov zamjenik te pritom ima sva prava i obveze člana savjeta mladih.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Savjet mladih predstavlja predsjednik savjeta mladih.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Predsjednik savjeta mladih: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– saziva i vodi sjednice savjeta mladih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– predstavlja savjet mladih prema </w:t>
      </w:r>
      <w:r w:rsidR="003C28E7" w:rsidRPr="001D7951">
        <w:rPr>
          <w:color w:val="000000"/>
        </w:rPr>
        <w:t>Općini Babina Greda</w:t>
      </w:r>
      <w:r w:rsidRPr="001D7951">
        <w:rPr>
          <w:color w:val="000000"/>
        </w:rPr>
        <w:t xml:space="preserve"> i prema trećima</w:t>
      </w:r>
    </w:p>
    <w:p w:rsidR="00976AB8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– obavlja druge p</w:t>
      </w:r>
      <w:r w:rsidR="003C28E7" w:rsidRPr="001D7951">
        <w:rPr>
          <w:color w:val="000000"/>
        </w:rPr>
        <w:t xml:space="preserve">oslove sukladno odredbama </w:t>
      </w:r>
      <w:r w:rsidRPr="001D7951">
        <w:rPr>
          <w:color w:val="000000"/>
        </w:rPr>
        <w:t>Zakona i poslovnika o radu savjeta mladih.</w:t>
      </w:r>
    </w:p>
    <w:p w:rsidR="005206F3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A90522" w:rsidRDefault="00A90522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206F3" w:rsidRPr="00303448" w:rsidRDefault="005206F3" w:rsidP="005206F3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15.</w:t>
      </w:r>
    </w:p>
    <w:p w:rsidR="005206F3" w:rsidRPr="001D7951" w:rsidRDefault="005206F3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Ako je predsjednik savjeta mladih iz opravdanih razloga spriječen obavljati svoje dužnosti zamjenjuje ga zamjenik predsjednika savjeta mladih.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Ako predsjednik savjeta mladih ne obavlja svoje dužnosti sukladno ovom Zakonu, općim aktima </w:t>
      </w:r>
      <w:r w:rsidR="003C28E7" w:rsidRPr="001D7951">
        <w:rPr>
          <w:color w:val="000000"/>
        </w:rPr>
        <w:t>Općine Babina Greda</w:t>
      </w:r>
      <w:r w:rsidRPr="001D7951">
        <w:rPr>
          <w:color w:val="000000"/>
        </w:rPr>
        <w:t xml:space="preserve"> te poslovniku o radu, savjet mladih može natpolovičnom većinom glasova svih članova pokrenuti postupak njegovog razrješenja s funkcije predsjednika savjeta mladih i izbora novog predsjednika.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Ako savjet mladih ne pokrene postupak izbora novog predsjednika savjeta mladih sukladno </w:t>
      </w:r>
      <w:r w:rsidR="003C28E7" w:rsidRPr="001D7951">
        <w:rPr>
          <w:color w:val="000000"/>
        </w:rPr>
        <w:t>ovoj odluci</w:t>
      </w:r>
      <w:r w:rsidRPr="001D7951">
        <w:rPr>
          <w:color w:val="000000"/>
        </w:rPr>
        <w:t xml:space="preserve">, </w:t>
      </w:r>
      <w:r w:rsidR="003C28E7" w:rsidRPr="001D7951">
        <w:rPr>
          <w:color w:val="000000"/>
        </w:rPr>
        <w:t>Općinsko vijeće Općine Babina Greda</w:t>
      </w:r>
      <w:r w:rsidRPr="001D7951">
        <w:rPr>
          <w:color w:val="000000"/>
        </w:rPr>
        <w:t>, sukladno poslovniku o radu savjeta mladih, može u pisanom obliku uputiti savjetu mladih inicijativu za pokretanje postupka izbora novog predsjednika savjeta mladih.</w:t>
      </w:r>
    </w:p>
    <w:p w:rsidR="00D8340F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Ako zamjenik predsjednika savjeta mladih ne obavlja svoje dužnosti sukladno ovom Zakonu, </w:t>
      </w:r>
      <w:r w:rsidR="003C28E7" w:rsidRPr="001D7951">
        <w:rPr>
          <w:color w:val="000000"/>
        </w:rPr>
        <w:t>općim aktima Općine Babina Greda,</w:t>
      </w:r>
      <w:r w:rsidRPr="001D7951">
        <w:rPr>
          <w:color w:val="000000"/>
        </w:rPr>
        <w:t xml:space="preserve"> te poslovniku o radu savjeta mladih, predsjednik savjeta mladih ili najmanje 1/3 članova savjeta mladih može pokrenuti postupak za njegovo razrješenje s funkcije zamjenika predsjednika savjeta mladih i izbor novog zamjenika predsjednika savjeta mladih.</w:t>
      </w:r>
    </w:p>
    <w:p w:rsidR="00024076" w:rsidRDefault="00024076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24076" w:rsidRDefault="00024076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24076" w:rsidRPr="00303448" w:rsidRDefault="00024076" w:rsidP="00024076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16.</w:t>
      </w:r>
    </w:p>
    <w:p w:rsidR="00024076" w:rsidRPr="001D7951" w:rsidRDefault="00024076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Savjet mladih može, u skladu sa svojim djelokrugom, imenovati svoje stalne i povremene radne skupine za uža područja djelovanja, te organizirati forume, tribine i radionice za pojedine dobne skupine mladih ili srodne vrste problema mladih.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lastRenderedPageBreak/>
        <w:t>U radu savjeta mladih mogu sudjelovati, bez prava glasa, i stručnjaci iz pojedinih područja vezanih za mlade i rad s mladima.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Savjet mladih donosi program rada savjeta mladih za svaku kalendarsku godinu.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Program rada savjeta mladih mora sadržavati sljedeće aktivnosti: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– sudjelovanje u kreiranju i praćenju provedbe lokalnog programa djelovanja za mlade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– konzultiranje s organizacijama mladih o temama bitnim za mlade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– suradnju s tijelima jedinica lokalne, odnosno područne (regionalne) samouprave u politici za mlade</w:t>
      </w:r>
    </w:p>
    <w:p w:rsidR="008200E2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– suradnju s drugim savjetodavnim tijelima mladih u Republici Hrvatskoj i inozemstvu.</w:t>
      </w:r>
    </w:p>
    <w:p w:rsidR="009D75F5" w:rsidRDefault="009D75F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9D75F5" w:rsidRDefault="009D75F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8200E2" w:rsidRPr="00303448" w:rsidRDefault="008200E2" w:rsidP="008200E2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17.</w:t>
      </w:r>
    </w:p>
    <w:p w:rsidR="008200E2" w:rsidRPr="001D7951" w:rsidRDefault="008200E2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Program rada savjeta mladih može sadržavati i ostale aktivnosti važne za rad savjeta mladih i poboljšanje položaja mladih, a u skladu s propisanim djelokrugom savjeta mladih.</w:t>
      </w:r>
    </w:p>
    <w:p w:rsidR="00D8340F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Program rada savjeta mladih donosi se većinom glasova svih članova savjeta mladih.</w:t>
      </w:r>
    </w:p>
    <w:p w:rsidR="00665D68" w:rsidRDefault="00665D68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665D68" w:rsidRDefault="00665D68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665D68" w:rsidRPr="00303448" w:rsidRDefault="00665D68" w:rsidP="00665D68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18.</w:t>
      </w:r>
    </w:p>
    <w:p w:rsidR="00665D68" w:rsidRPr="001D7951" w:rsidRDefault="00665D68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8340F" w:rsidRPr="00303448" w:rsidRDefault="00D8340F" w:rsidP="001D7951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303448">
        <w:rPr>
          <w:b/>
          <w:color w:val="000000"/>
        </w:rPr>
        <w:t xml:space="preserve">Savjet mladih donosi program rada te ga podnosi na odobravanje </w:t>
      </w:r>
      <w:r w:rsidR="003C28E7" w:rsidRPr="00303448">
        <w:rPr>
          <w:b/>
          <w:color w:val="000000"/>
        </w:rPr>
        <w:t>Općinskom vijeću Općine Babina Greda</w:t>
      </w:r>
      <w:r w:rsidRPr="00303448">
        <w:rPr>
          <w:b/>
          <w:color w:val="000000"/>
        </w:rPr>
        <w:t>, najkasnije do 30. rujna tekuće godine, za sljedeću kalendarsku godinu.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303448">
        <w:rPr>
          <w:b/>
          <w:color w:val="000000"/>
        </w:rPr>
        <w:t xml:space="preserve">Savjet mladih podnosi godišnje izvješće o svom radu </w:t>
      </w:r>
      <w:r w:rsidR="003C28E7" w:rsidRPr="00303448">
        <w:rPr>
          <w:b/>
          <w:color w:val="000000"/>
        </w:rPr>
        <w:t>Općinskom vijeću Općine Babina Greda</w:t>
      </w:r>
      <w:r w:rsidRPr="00303448">
        <w:rPr>
          <w:b/>
          <w:color w:val="000000"/>
        </w:rPr>
        <w:t xml:space="preserve"> do 31. ožujka tekuće godine za prethodnu godinu te ga dostavlja na znanje </w:t>
      </w:r>
      <w:r w:rsidR="003C28E7" w:rsidRPr="00303448">
        <w:rPr>
          <w:b/>
          <w:color w:val="000000"/>
        </w:rPr>
        <w:t>općinskom načelniku</w:t>
      </w:r>
      <w:r w:rsidR="003C28E7" w:rsidRPr="001D7951">
        <w:rPr>
          <w:color w:val="000000"/>
        </w:rPr>
        <w:t xml:space="preserve"> Općine Babina Greda</w:t>
      </w:r>
      <w:r w:rsidRPr="001D7951">
        <w:rPr>
          <w:color w:val="000000"/>
        </w:rPr>
        <w:t xml:space="preserve"> koje ga objavljuje na mrežnim stranicama </w:t>
      </w:r>
      <w:r w:rsidR="003C28E7" w:rsidRPr="001D7951">
        <w:rPr>
          <w:color w:val="000000"/>
        </w:rPr>
        <w:t>Općine Babina Greda.</w:t>
      </w:r>
    </w:p>
    <w:p w:rsidR="00D8340F" w:rsidRPr="001D7951" w:rsidRDefault="00D8340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Ako se programom rada savjeta mladih za provedbu planiranih aktivnosti predviđa potreba osiguranja financijskih sredstava, sredstva se sukladno ovom Zakonu, odluci o osnivanju savjeta mladih i na temelju financijskog plana osiguravaju u proračunu </w:t>
      </w:r>
      <w:r w:rsidR="003C28E7" w:rsidRPr="001D7951">
        <w:rPr>
          <w:color w:val="000000"/>
        </w:rPr>
        <w:t>Općine Babina Greda.</w:t>
      </w:r>
    </w:p>
    <w:p w:rsidR="00D8340F" w:rsidRPr="001D7951" w:rsidRDefault="00D8340F" w:rsidP="001D7951">
      <w:pPr>
        <w:pStyle w:val="Tijeloteksta1"/>
        <w:spacing w:line="240" w:lineRule="auto"/>
        <w:ind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D7951">
        <w:rPr>
          <w:rFonts w:ascii="Times New Roman" w:hAnsi="Times New Roman" w:cs="Times New Roman"/>
          <w:color w:val="000000"/>
          <w:sz w:val="24"/>
          <w:szCs w:val="24"/>
        </w:rPr>
        <w:t xml:space="preserve">Program rada savjeta mladih </w:t>
      </w:r>
      <w:r w:rsidR="003C28E7" w:rsidRPr="001D7951">
        <w:rPr>
          <w:rFonts w:ascii="Times New Roman" w:hAnsi="Times New Roman" w:cs="Times New Roman"/>
          <w:color w:val="000000"/>
          <w:sz w:val="24"/>
          <w:szCs w:val="24"/>
        </w:rPr>
        <w:t>općinsko vijeće Općine Babina Greda.</w:t>
      </w:r>
    </w:p>
    <w:p w:rsidR="00051F4A" w:rsidRDefault="00051F4A" w:rsidP="001D7951">
      <w:pPr>
        <w:pStyle w:val="t-11-9-sred"/>
        <w:spacing w:before="0" w:beforeAutospacing="0" w:after="0" w:afterAutospacing="0"/>
        <w:rPr>
          <w:b/>
          <w:color w:val="000000"/>
        </w:rPr>
      </w:pPr>
    </w:p>
    <w:p w:rsidR="00051F4A" w:rsidRDefault="00051F4A" w:rsidP="001D7951">
      <w:pPr>
        <w:pStyle w:val="t-11-9-sred"/>
        <w:spacing w:before="0" w:beforeAutospacing="0" w:after="0" w:afterAutospacing="0"/>
        <w:rPr>
          <w:b/>
          <w:color w:val="000000"/>
        </w:rPr>
      </w:pPr>
    </w:p>
    <w:p w:rsidR="00051F4A" w:rsidRDefault="00051F4A" w:rsidP="001D7951">
      <w:pPr>
        <w:pStyle w:val="t-11-9-sred"/>
        <w:spacing w:before="0" w:beforeAutospacing="0" w:after="0" w:afterAutospacing="0"/>
        <w:rPr>
          <w:b/>
          <w:color w:val="000000"/>
        </w:rPr>
      </w:pPr>
    </w:p>
    <w:p w:rsidR="00A76B9B" w:rsidRPr="00303448" w:rsidRDefault="00A76B9B" w:rsidP="001D7951">
      <w:pPr>
        <w:pStyle w:val="t-11-9-sre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3448">
        <w:rPr>
          <w:b/>
          <w:color w:val="000000"/>
          <w:sz w:val="28"/>
          <w:szCs w:val="28"/>
        </w:rPr>
        <w:t>SURADNJA SAVJETA MLADIH</w:t>
      </w:r>
    </w:p>
    <w:p w:rsidR="00051F4A" w:rsidRPr="001D7951" w:rsidRDefault="00051F4A" w:rsidP="001D7951">
      <w:pPr>
        <w:pStyle w:val="t-11-9-sred"/>
        <w:spacing w:before="0" w:beforeAutospacing="0" w:after="0" w:afterAutospacing="0"/>
        <w:rPr>
          <w:b/>
          <w:color w:val="000000"/>
        </w:rPr>
      </w:pPr>
    </w:p>
    <w:p w:rsidR="00A76B9B" w:rsidRPr="00303448" w:rsidRDefault="00A76B9B" w:rsidP="001D7951">
      <w:pPr>
        <w:pStyle w:val="clanak-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 xml:space="preserve">Članak </w:t>
      </w:r>
      <w:r w:rsidR="00051F4A" w:rsidRPr="00303448">
        <w:rPr>
          <w:color w:val="000000"/>
          <w:sz w:val="28"/>
          <w:szCs w:val="28"/>
        </w:rPr>
        <w:t>19</w:t>
      </w:r>
      <w:r w:rsidRPr="00303448">
        <w:rPr>
          <w:color w:val="000000"/>
          <w:sz w:val="28"/>
          <w:szCs w:val="28"/>
        </w:rPr>
        <w:t>.</w:t>
      </w:r>
    </w:p>
    <w:p w:rsidR="00051F4A" w:rsidRPr="001D7951" w:rsidRDefault="00051F4A" w:rsidP="001D7951">
      <w:pPr>
        <w:pStyle w:val="clanak-"/>
        <w:spacing w:before="0" w:beforeAutospacing="0" w:after="0" w:afterAutospacing="0"/>
        <w:jc w:val="center"/>
        <w:rPr>
          <w:color w:val="000000"/>
        </w:rPr>
      </w:pPr>
    </w:p>
    <w:p w:rsidR="00A76B9B" w:rsidRPr="001D7951" w:rsidRDefault="00A76B9B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Savjeti mladih općina, gradova i županija, te savjet mladih Grada Zagreba mogu surađivati međusobno i razvijati suradnju s organiziranim oblicima djelovanja mladih i neformalnim skupinama mladih u jedinicama lokalne, odnosno područne (regionalne) samouprave drugih zemalja, te međunarodnim organizacijama.</w:t>
      </w:r>
    </w:p>
    <w:p w:rsidR="00A76B9B" w:rsidRDefault="00A76B9B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51F4A" w:rsidRPr="001D7951" w:rsidRDefault="00051F4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A76B9B" w:rsidRPr="001D7951" w:rsidRDefault="00A76B9B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A76B9B" w:rsidRPr="00303448" w:rsidRDefault="00A76B9B" w:rsidP="001D7951">
      <w:pPr>
        <w:pStyle w:val="t-11-9-sre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3448">
        <w:rPr>
          <w:b/>
          <w:color w:val="000000"/>
          <w:sz w:val="28"/>
          <w:szCs w:val="28"/>
        </w:rPr>
        <w:t>SREDSTVA ZA RAD SAVJETA MLADIH</w:t>
      </w:r>
    </w:p>
    <w:p w:rsidR="00A76B9B" w:rsidRDefault="00A76B9B" w:rsidP="001D7951">
      <w:pPr>
        <w:pStyle w:val="t-11-9-sred"/>
        <w:spacing w:before="0" w:beforeAutospacing="0" w:after="0" w:afterAutospacing="0"/>
        <w:rPr>
          <w:b/>
          <w:color w:val="000000"/>
        </w:rPr>
      </w:pPr>
    </w:p>
    <w:p w:rsidR="00051F4A" w:rsidRPr="001D7951" w:rsidRDefault="00051F4A" w:rsidP="001D7951">
      <w:pPr>
        <w:pStyle w:val="t-11-9-sred"/>
        <w:spacing w:before="0" w:beforeAutospacing="0" w:after="0" w:afterAutospacing="0"/>
        <w:rPr>
          <w:b/>
          <w:color w:val="000000"/>
        </w:rPr>
      </w:pPr>
    </w:p>
    <w:p w:rsidR="00A76B9B" w:rsidRPr="00303448" w:rsidRDefault="00A76B9B" w:rsidP="001D7951">
      <w:pPr>
        <w:pStyle w:val="clanak-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lastRenderedPageBreak/>
        <w:t xml:space="preserve">Članak </w:t>
      </w:r>
      <w:r w:rsidR="00051F4A" w:rsidRPr="00303448">
        <w:rPr>
          <w:color w:val="000000"/>
          <w:sz w:val="28"/>
          <w:szCs w:val="28"/>
        </w:rPr>
        <w:t>20</w:t>
      </w:r>
      <w:r w:rsidRPr="00303448">
        <w:rPr>
          <w:color w:val="000000"/>
          <w:sz w:val="28"/>
          <w:szCs w:val="28"/>
        </w:rPr>
        <w:t>.</w:t>
      </w:r>
    </w:p>
    <w:p w:rsidR="00051F4A" w:rsidRPr="001D7951" w:rsidRDefault="00051F4A" w:rsidP="001D7951">
      <w:pPr>
        <w:pStyle w:val="clanak-"/>
        <w:spacing w:before="0" w:beforeAutospacing="0" w:after="0" w:afterAutospacing="0"/>
        <w:jc w:val="center"/>
        <w:rPr>
          <w:color w:val="000000"/>
        </w:rPr>
      </w:pPr>
    </w:p>
    <w:p w:rsidR="00A76B9B" w:rsidRPr="001D7951" w:rsidRDefault="0005079D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05079D">
        <w:rPr>
          <w:b/>
          <w:color w:val="000000"/>
        </w:rPr>
        <w:t>Općina Babina Greda u svom proračunu</w:t>
      </w:r>
      <w:r w:rsidR="00A76B9B" w:rsidRPr="0005079D">
        <w:rPr>
          <w:b/>
          <w:color w:val="000000"/>
        </w:rPr>
        <w:t xml:space="preserve"> osigurava financijska sredstva za rad</w:t>
      </w:r>
      <w:r w:rsidR="00A76B9B" w:rsidRPr="001D7951">
        <w:rPr>
          <w:color w:val="000000"/>
        </w:rPr>
        <w:t xml:space="preserve"> i program rada </w:t>
      </w:r>
      <w:r w:rsidR="00A76B9B" w:rsidRPr="0005079D">
        <w:rPr>
          <w:b/>
          <w:color w:val="000000"/>
        </w:rPr>
        <w:t>savjeta mladih</w:t>
      </w:r>
      <w:r>
        <w:rPr>
          <w:b/>
          <w:color w:val="000000"/>
        </w:rPr>
        <w:t>,</w:t>
      </w:r>
      <w:r w:rsidR="00A76B9B" w:rsidRPr="0005079D">
        <w:rPr>
          <w:b/>
          <w:color w:val="000000"/>
        </w:rPr>
        <w:t xml:space="preserve"> </w:t>
      </w:r>
      <w:r w:rsidR="00A76B9B" w:rsidRPr="00A5735B">
        <w:rPr>
          <w:b/>
          <w:color w:val="000000"/>
        </w:rPr>
        <w:t>kao i prostor</w:t>
      </w:r>
      <w:r w:rsidR="00A76B9B" w:rsidRPr="001D7951">
        <w:rPr>
          <w:color w:val="000000"/>
        </w:rPr>
        <w:t xml:space="preserve"> za održavanje sjednica savjeta mladih, sukladno Zakonu i odluci o osnivanju savjeta mladih.</w:t>
      </w:r>
    </w:p>
    <w:p w:rsidR="00A76B9B" w:rsidRPr="00A5735B" w:rsidRDefault="00A76B9B" w:rsidP="001D7951">
      <w:pPr>
        <w:pStyle w:val="t-9-8"/>
        <w:spacing w:before="0" w:beforeAutospacing="0" w:after="0" w:afterAutospacing="0"/>
        <w:jc w:val="both"/>
        <w:rPr>
          <w:b/>
          <w:color w:val="000000"/>
        </w:rPr>
      </w:pPr>
      <w:r w:rsidRPr="00A5735B">
        <w:rPr>
          <w:b/>
          <w:color w:val="000000"/>
        </w:rPr>
        <w:t>Članovi savjeta mladih nemaju pravo na naknadu za svoj rad.</w:t>
      </w:r>
    </w:p>
    <w:p w:rsidR="00A76B9B" w:rsidRPr="001D7951" w:rsidRDefault="00A76B9B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A5735B">
        <w:rPr>
          <w:b/>
          <w:color w:val="000000"/>
        </w:rPr>
        <w:t>Članovi savjeta mladih imaju pravo na naknadu troškova prijevoza</w:t>
      </w:r>
      <w:r w:rsidRPr="001D7951">
        <w:rPr>
          <w:color w:val="000000"/>
        </w:rPr>
        <w:t xml:space="preserve"> za dolazak na sjednice savjeta mladih, kao i drugih putnih troškova neposredno vezanih za rad u savjetu mladih u skladu s odlukom o osnivanju savjeta mladih.</w:t>
      </w:r>
    </w:p>
    <w:p w:rsidR="00E40D8F" w:rsidRPr="001D7951" w:rsidRDefault="00E40D8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E40D8F" w:rsidRPr="001D7951" w:rsidRDefault="00E40D8F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46055" w:rsidRPr="00303448" w:rsidRDefault="00746055" w:rsidP="001D7951">
      <w:pPr>
        <w:pStyle w:val="t-11-9-sre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3448">
        <w:rPr>
          <w:b/>
          <w:color w:val="000000"/>
          <w:sz w:val="28"/>
          <w:szCs w:val="28"/>
        </w:rPr>
        <w:t>ODNOS SAVJETA MLADIH I PREDSTAVNIČKOG TE IZVRŠNOG TIJELA</w:t>
      </w:r>
    </w:p>
    <w:p w:rsidR="00746055" w:rsidRPr="001D7951" w:rsidRDefault="00746055" w:rsidP="001D7951">
      <w:pPr>
        <w:pStyle w:val="t-11-9-sred"/>
        <w:spacing w:before="0" w:beforeAutospacing="0" w:after="0" w:afterAutospacing="0"/>
        <w:rPr>
          <w:b/>
          <w:color w:val="000000"/>
        </w:rPr>
      </w:pPr>
    </w:p>
    <w:p w:rsidR="008526CF" w:rsidRPr="00303448" w:rsidRDefault="008526CF" w:rsidP="001D7951">
      <w:pPr>
        <w:pStyle w:val="t-11-9-sre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 xml:space="preserve">Članak </w:t>
      </w:r>
      <w:r w:rsidR="004B1B0C" w:rsidRPr="00303448">
        <w:rPr>
          <w:color w:val="000000"/>
          <w:sz w:val="28"/>
          <w:szCs w:val="28"/>
        </w:rPr>
        <w:t>21</w:t>
      </w:r>
      <w:r w:rsidRPr="00303448">
        <w:rPr>
          <w:color w:val="000000"/>
          <w:sz w:val="28"/>
          <w:szCs w:val="28"/>
        </w:rPr>
        <w:t>.</w:t>
      </w:r>
    </w:p>
    <w:p w:rsidR="008526CF" w:rsidRPr="001D7951" w:rsidRDefault="008526CF" w:rsidP="001D7951">
      <w:pPr>
        <w:pStyle w:val="t-11-9-sred"/>
        <w:spacing w:before="0" w:beforeAutospacing="0" w:after="0" w:afterAutospacing="0"/>
        <w:rPr>
          <w:b/>
          <w:color w:val="000000"/>
        </w:rPr>
      </w:pPr>
    </w:p>
    <w:p w:rsidR="00746055" w:rsidRDefault="0074605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61AB4">
        <w:rPr>
          <w:b/>
          <w:color w:val="000000"/>
        </w:rPr>
        <w:t>Općinsko vijeće</w:t>
      </w:r>
      <w:r w:rsidRPr="001D7951">
        <w:rPr>
          <w:color w:val="000000"/>
        </w:rPr>
        <w:t xml:space="preserve"> Općine </w:t>
      </w:r>
      <w:r w:rsidR="004B1B0C">
        <w:rPr>
          <w:color w:val="000000"/>
        </w:rPr>
        <w:t>B</w:t>
      </w:r>
      <w:r w:rsidRPr="001D7951">
        <w:rPr>
          <w:color w:val="000000"/>
        </w:rPr>
        <w:t xml:space="preserve">abina Greda dostavlja savjetu mladih </w:t>
      </w:r>
      <w:r w:rsidRPr="00561AB4">
        <w:rPr>
          <w:b/>
          <w:color w:val="000000"/>
        </w:rPr>
        <w:t>sve pozive i materijale za svoje sjednice, te zapisnike s održanih sjednica</w:t>
      </w:r>
      <w:r w:rsidRPr="001D7951">
        <w:rPr>
          <w:color w:val="000000"/>
        </w:rPr>
        <w:t xml:space="preserve"> u istom roku, kao i članovima predstavničkog tijela, te na drugi prikladan način informira savjet mladih o svim svojim aktivnostima.</w:t>
      </w:r>
    </w:p>
    <w:p w:rsidR="004B1B0C" w:rsidRDefault="004B1B0C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B1B0C" w:rsidRDefault="004B1B0C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B1B0C" w:rsidRPr="00303448" w:rsidRDefault="004B1B0C" w:rsidP="004B1B0C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22.</w:t>
      </w:r>
    </w:p>
    <w:p w:rsidR="004B1B0C" w:rsidRDefault="004B1B0C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69753D" w:rsidRPr="001D7951" w:rsidRDefault="0069753D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46055" w:rsidRPr="001D7951" w:rsidRDefault="0074605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69753D">
        <w:rPr>
          <w:b/>
          <w:color w:val="000000"/>
        </w:rPr>
        <w:t>Predsjednik općinskog vijeća po potrebi, a najmanje svaka tri mjeseca, održava zajednički sastanak sa savjetom mladih</w:t>
      </w:r>
      <w:r w:rsidRPr="001D7951">
        <w:rPr>
          <w:color w:val="000000"/>
        </w:rPr>
        <w:t xml:space="preserve">, na koji po potrebi poziva i druge članove općinskog vijeća i drugih tijela </w:t>
      </w:r>
      <w:r w:rsidR="0069753D">
        <w:rPr>
          <w:color w:val="000000"/>
        </w:rPr>
        <w:t>Općine Babina Greda</w:t>
      </w:r>
      <w:r w:rsidRPr="001D7951">
        <w:rPr>
          <w:color w:val="000000"/>
        </w:rPr>
        <w:t xml:space="preserve">, a na kojem raspravljaju o svim pitanjima od interesa za mlade, te o suradnji općinskog vijeća i drugih tijela </w:t>
      </w:r>
      <w:r w:rsidR="0069753D">
        <w:rPr>
          <w:color w:val="000000"/>
        </w:rPr>
        <w:t>Općine Babina Greda</w:t>
      </w:r>
      <w:r w:rsidRPr="001D7951">
        <w:rPr>
          <w:color w:val="000000"/>
        </w:rPr>
        <w:t xml:space="preserve"> sa savjetom mladih.</w:t>
      </w:r>
    </w:p>
    <w:p w:rsidR="00746055" w:rsidRPr="001D7951" w:rsidRDefault="0074605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Inicijativu za zajednički sastanak predsjednika općinskog vijeća Općine Babina Greda i savjeta mladih može pokrenuti i savjet mladih.</w:t>
      </w:r>
    </w:p>
    <w:p w:rsidR="00746055" w:rsidRPr="001D7951" w:rsidRDefault="0074605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Na zajednički sastanak predsjednika općinskog vijeća Općine Babina Greda i savjeta mladih mogu biti pozvani i stručnjaci iz pojedinih područja vezanih za mlade i rad s mladima.</w:t>
      </w:r>
    </w:p>
    <w:p w:rsidR="004666A8" w:rsidRDefault="0074605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Na prijedlog savjeta mladih </w:t>
      </w:r>
      <w:r w:rsidR="004666A8">
        <w:rPr>
          <w:color w:val="000000"/>
        </w:rPr>
        <w:t>općinsko vijeće</w:t>
      </w:r>
      <w:r w:rsidRPr="001D7951">
        <w:rPr>
          <w:color w:val="000000"/>
        </w:rPr>
        <w:t xml:space="preserve"> Općine Babina Greda će raspraviti pitanje od interesa za mlade, i to najkasnije na prvoj sljedećoj sjednici od dana dostave zahtjeva savjeta mladih pod uvjetom da je prijedlog podnesen najkasnije sedam dana prije dana održavanja sjednice predsjednika općinskog vijeća Općine Babina Greda </w:t>
      </w:r>
      <w:r w:rsidR="00DC7C6A">
        <w:rPr>
          <w:color w:val="000000"/>
        </w:rPr>
        <w:t>.</w:t>
      </w:r>
    </w:p>
    <w:p w:rsidR="00DC7C6A" w:rsidRDefault="00DC7C6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9F0BB1" w:rsidRDefault="009F0BB1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DC7C6A" w:rsidRPr="00303448" w:rsidRDefault="00DC7C6A" w:rsidP="00DC7C6A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23.</w:t>
      </w:r>
    </w:p>
    <w:p w:rsidR="00DC7C6A" w:rsidRDefault="00DC7C6A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46055" w:rsidRDefault="0074605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Predsjednik, zamjenik predsjednika ili drugi član savjeta mladih kojeg savjet imenuje dužan je odazvati se pozivima na sjednice predstavničkog tijela, prisustvovati sjednicama s pravom sudjelovanja u raspravi, ali bez prava glasa te dostaviti svaki podatak ili izvještaj koji o pitanju iz njegova djelokruga zatraži predstavničko tijelo.</w:t>
      </w:r>
    </w:p>
    <w:p w:rsidR="001A14F2" w:rsidRDefault="001A14F2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1A14F2" w:rsidRDefault="001A14F2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1A14F2" w:rsidRPr="00303448" w:rsidRDefault="001A14F2" w:rsidP="001A14F2">
      <w:pPr>
        <w:pStyle w:val="t-9-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448">
        <w:rPr>
          <w:color w:val="000000"/>
          <w:sz w:val="28"/>
          <w:szCs w:val="28"/>
        </w:rPr>
        <w:t>Članak 24.</w:t>
      </w:r>
    </w:p>
    <w:p w:rsidR="001A14F2" w:rsidRPr="001D7951" w:rsidRDefault="001A14F2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46055" w:rsidRPr="001D7951" w:rsidRDefault="0074605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>Savjet mladih surađuje s općinskim načelnikom redovitim međusobnim informiranjem, savjetovanjem te na druge načine.</w:t>
      </w:r>
    </w:p>
    <w:p w:rsidR="00746055" w:rsidRPr="001D7951" w:rsidRDefault="0074605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B37A4F">
        <w:rPr>
          <w:b/>
          <w:color w:val="000000"/>
        </w:rPr>
        <w:t>Općinski načelnik,</w:t>
      </w:r>
      <w:r w:rsidRPr="001D7951">
        <w:rPr>
          <w:color w:val="000000"/>
        </w:rPr>
        <w:t xml:space="preserve"> gradonačelnik, župan, odnosno gradonačelnik Grada Zagreba </w:t>
      </w:r>
      <w:r w:rsidRPr="00B37A4F">
        <w:rPr>
          <w:b/>
          <w:color w:val="000000"/>
        </w:rPr>
        <w:t>po potrebi, a najmanje svaka tri mjeseca, održava zajednički sastanak sa savjetom mladih</w:t>
      </w:r>
      <w:r w:rsidRPr="001D7951">
        <w:rPr>
          <w:color w:val="000000"/>
        </w:rPr>
        <w:t>, a na kojem raspravljaju o svim pitanjima od interesa za mlade, te o suradnji općinskog načelnika, gradonačelnika, župana, odnosno gradonačelnika Grada Zagreba i savjeta mladih.</w:t>
      </w:r>
    </w:p>
    <w:p w:rsidR="008526CF" w:rsidRPr="001D7951" w:rsidRDefault="00746055" w:rsidP="001D7951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1D7951">
        <w:rPr>
          <w:color w:val="000000"/>
        </w:rPr>
        <w:t xml:space="preserve">Općinski načelnik, gradonačelnik, župan i gradonačelnik Grada Zagreba svakih šest mjeseci pisanim putem obavještava savjet mladih o svojim aktivnostima koje su od </w:t>
      </w:r>
      <w:r w:rsidR="008526CF" w:rsidRPr="001D7951">
        <w:rPr>
          <w:color w:val="000000"/>
        </w:rPr>
        <w:t>važnosti ili interesa za mlade.</w:t>
      </w:r>
    </w:p>
    <w:p w:rsidR="000E0C4E" w:rsidRDefault="000E0C4E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891A78" w:rsidRPr="001D7951" w:rsidRDefault="00891A78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0E0C4E" w:rsidRPr="001D7951" w:rsidRDefault="000E0C4E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727D64" w:rsidRPr="00303448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b/>
          <w:sz w:val="28"/>
          <w:szCs w:val="28"/>
        </w:rPr>
      </w:pPr>
      <w:r w:rsidRPr="00303448">
        <w:rPr>
          <w:rFonts w:ascii="Times New Roman" w:hAnsi="Times New Roman" w:cs="Times New Roman"/>
          <w:b/>
          <w:sz w:val="28"/>
          <w:szCs w:val="28"/>
        </w:rPr>
        <w:t xml:space="preserve">PRIJELAZNE I ZAVRŠNE ODREDBE </w:t>
      </w:r>
    </w:p>
    <w:p w:rsidR="00727D64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667AE4" w:rsidRPr="001D7951" w:rsidRDefault="00667AE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EC765C" w:rsidRPr="00303448" w:rsidRDefault="00EC765C" w:rsidP="00EC765C">
      <w:pPr>
        <w:pStyle w:val="Tijeloteksta1"/>
        <w:spacing w:line="240" w:lineRule="auto"/>
        <w:ind w:left="340" w:right="40"/>
        <w:jc w:val="center"/>
        <w:rPr>
          <w:rFonts w:ascii="Times New Roman" w:hAnsi="Times New Roman" w:cs="Times New Roman"/>
          <w:sz w:val="28"/>
          <w:szCs w:val="28"/>
        </w:rPr>
      </w:pPr>
      <w:r w:rsidRPr="00303448">
        <w:rPr>
          <w:rFonts w:ascii="Times New Roman" w:hAnsi="Times New Roman" w:cs="Times New Roman"/>
          <w:sz w:val="28"/>
          <w:szCs w:val="28"/>
        </w:rPr>
        <w:t>Članak 25.</w:t>
      </w:r>
    </w:p>
    <w:p w:rsidR="00EC765C" w:rsidRPr="001D7951" w:rsidRDefault="00EC765C" w:rsidP="00EC765C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EC765C" w:rsidRPr="001D7951" w:rsidRDefault="00EC765C" w:rsidP="00EC765C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Administrativnu i inu pomoć u radu savjetu mladih i općinskom vijeću pruža JUO.</w:t>
      </w:r>
    </w:p>
    <w:p w:rsidR="00EC765C" w:rsidRDefault="00EC765C" w:rsidP="00EC765C">
      <w:pPr>
        <w:pStyle w:val="Tijeloteksta1"/>
        <w:spacing w:line="240" w:lineRule="auto"/>
        <w:ind w:left="340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EC765C" w:rsidRDefault="00EC765C" w:rsidP="00EC765C">
      <w:pPr>
        <w:pStyle w:val="Tijeloteksta1"/>
        <w:spacing w:line="240" w:lineRule="auto"/>
        <w:ind w:left="340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667AE4" w:rsidRDefault="007E7B1D" w:rsidP="007E7B1D">
      <w:pPr>
        <w:pStyle w:val="Tijeloteksta1"/>
        <w:tabs>
          <w:tab w:val="left" w:pos="3585"/>
          <w:tab w:val="center" w:pos="4525"/>
        </w:tabs>
        <w:spacing w:line="240" w:lineRule="auto"/>
        <w:ind w:left="340" w:right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7AE4" w:rsidRPr="00667AE4">
        <w:rPr>
          <w:rFonts w:ascii="Times New Roman" w:hAnsi="Times New Roman" w:cs="Times New Roman"/>
          <w:sz w:val="28"/>
          <w:szCs w:val="28"/>
        </w:rPr>
        <w:t>Članak 26.</w:t>
      </w:r>
    </w:p>
    <w:p w:rsidR="00667AE4" w:rsidRDefault="00667AE4" w:rsidP="00EC765C">
      <w:pPr>
        <w:pStyle w:val="Tijeloteksta1"/>
        <w:spacing w:line="240" w:lineRule="auto"/>
        <w:ind w:left="34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667AE4" w:rsidRDefault="00667AE4" w:rsidP="00667AE4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 w:rsidRPr="00667AE4">
        <w:rPr>
          <w:rFonts w:ascii="Times New Roman" w:hAnsi="Times New Roman" w:cs="Times New Roman"/>
          <w:sz w:val="24"/>
          <w:szCs w:val="24"/>
        </w:rPr>
        <w:t xml:space="preserve">Donošenjem ove </w:t>
      </w:r>
      <w:r>
        <w:rPr>
          <w:rFonts w:ascii="Times New Roman" w:hAnsi="Times New Roman" w:cs="Times New Roman"/>
          <w:sz w:val="24"/>
          <w:szCs w:val="24"/>
        </w:rPr>
        <w:t xml:space="preserve">Odluke o osnivanju savjeta mladih Općine Babina Greda, dosadašnja Odluka </w:t>
      </w:r>
    </w:p>
    <w:p w:rsidR="00667AE4" w:rsidRDefault="00667AE4" w:rsidP="00667AE4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osnivanju savjeta mladih Općine Babina Greda („Službeni vjesnik“ Vukovarsko – srijemske </w:t>
      </w:r>
    </w:p>
    <w:p w:rsidR="00667AE4" w:rsidRPr="00667AE4" w:rsidRDefault="00667AE4" w:rsidP="00667AE4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županije, br. 4a/10), stavlja se van snage.</w:t>
      </w:r>
    </w:p>
    <w:p w:rsidR="00667AE4" w:rsidRPr="00667AE4" w:rsidRDefault="00667AE4" w:rsidP="00EC765C">
      <w:pPr>
        <w:pStyle w:val="Tijeloteksta1"/>
        <w:spacing w:line="240" w:lineRule="auto"/>
        <w:ind w:left="34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667AE4" w:rsidRDefault="00667AE4" w:rsidP="00EC765C">
      <w:pPr>
        <w:pStyle w:val="Tijeloteksta1"/>
        <w:spacing w:line="240" w:lineRule="auto"/>
        <w:ind w:left="340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727D64" w:rsidRPr="00303448" w:rsidRDefault="008526CF" w:rsidP="00EC765C">
      <w:pPr>
        <w:pStyle w:val="Tijeloteksta1"/>
        <w:spacing w:line="240" w:lineRule="auto"/>
        <w:ind w:left="340" w:right="40"/>
        <w:jc w:val="center"/>
        <w:rPr>
          <w:rFonts w:ascii="Times New Roman" w:hAnsi="Times New Roman" w:cs="Times New Roman"/>
          <w:sz w:val="28"/>
          <w:szCs w:val="28"/>
        </w:rPr>
      </w:pPr>
      <w:r w:rsidRPr="00303448">
        <w:rPr>
          <w:rFonts w:ascii="Times New Roman" w:hAnsi="Times New Roman" w:cs="Times New Roman"/>
          <w:sz w:val="28"/>
          <w:szCs w:val="28"/>
        </w:rPr>
        <w:t xml:space="preserve">Članak </w:t>
      </w:r>
      <w:r w:rsidR="00EC765C" w:rsidRPr="00303448">
        <w:rPr>
          <w:rFonts w:ascii="Times New Roman" w:hAnsi="Times New Roman" w:cs="Times New Roman"/>
          <w:sz w:val="28"/>
          <w:szCs w:val="28"/>
        </w:rPr>
        <w:t>2</w:t>
      </w:r>
      <w:r w:rsidR="00667AE4">
        <w:rPr>
          <w:rFonts w:ascii="Times New Roman" w:hAnsi="Times New Roman" w:cs="Times New Roman"/>
          <w:sz w:val="28"/>
          <w:szCs w:val="28"/>
        </w:rPr>
        <w:t>7</w:t>
      </w:r>
      <w:r w:rsidRPr="00303448">
        <w:rPr>
          <w:rFonts w:ascii="Times New Roman" w:hAnsi="Times New Roman" w:cs="Times New Roman"/>
          <w:sz w:val="28"/>
          <w:szCs w:val="28"/>
        </w:rPr>
        <w:t>.</w:t>
      </w:r>
    </w:p>
    <w:p w:rsidR="00727D64" w:rsidRPr="001D7951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DC4831" w:rsidRDefault="00727D64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C4831">
        <w:rPr>
          <w:rFonts w:ascii="Times New Roman" w:hAnsi="Times New Roman" w:cs="Times New Roman"/>
          <w:sz w:val="24"/>
          <w:szCs w:val="24"/>
        </w:rPr>
        <w:t xml:space="preserve">danom donošenja, a </w:t>
      </w:r>
      <w:r w:rsidRPr="001D7951">
        <w:rPr>
          <w:rFonts w:ascii="Times New Roman" w:hAnsi="Times New Roman" w:cs="Times New Roman"/>
          <w:sz w:val="24"/>
          <w:szCs w:val="24"/>
        </w:rPr>
        <w:t>objav</w:t>
      </w:r>
      <w:r w:rsidR="00DC4831">
        <w:rPr>
          <w:rFonts w:ascii="Times New Roman" w:hAnsi="Times New Roman" w:cs="Times New Roman"/>
          <w:sz w:val="24"/>
          <w:szCs w:val="24"/>
        </w:rPr>
        <w:t>iti će se u "Službenom vjesniku"</w:t>
      </w:r>
    </w:p>
    <w:p w:rsidR="00727D64" w:rsidRPr="001D7951" w:rsidRDefault="00727D64" w:rsidP="00DC483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>Vukovarsk</w:t>
      </w:r>
      <w:r w:rsidR="00DC4831">
        <w:rPr>
          <w:rFonts w:ascii="Times New Roman" w:hAnsi="Times New Roman" w:cs="Times New Roman"/>
          <w:sz w:val="24"/>
          <w:szCs w:val="24"/>
        </w:rPr>
        <w:t>o-</w:t>
      </w:r>
      <w:r w:rsidR="008526CF" w:rsidRPr="001D7951">
        <w:rPr>
          <w:rFonts w:ascii="Times New Roman" w:hAnsi="Times New Roman" w:cs="Times New Roman"/>
          <w:sz w:val="24"/>
          <w:szCs w:val="24"/>
        </w:rPr>
        <w:t>srijemske županije.</w:t>
      </w:r>
      <w:r w:rsidRPr="001D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082" w:rsidRDefault="002B7082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891A78" w:rsidRDefault="00891A78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891A78" w:rsidRDefault="00891A78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2B7082" w:rsidRPr="001D7951" w:rsidRDefault="002B7082" w:rsidP="002B7082">
      <w:pPr>
        <w:jc w:val="both"/>
      </w:pPr>
      <w:r w:rsidRPr="001D7951">
        <w:t>KLASA: 02</w:t>
      </w:r>
      <w:r w:rsidR="007E7B1D">
        <w:t>3</w:t>
      </w:r>
      <w:r w:rsidRPr="001D7951">
        <w:t>-01/17-01/</w:t>
      </w:r>
      <w:r w:rsidR="007E7B1D">
        <w:t>7</w:t>
      </w:r>
    </w:p>
    <w:p w:rsidR="002B7082" w:rsidRPr="004A792E" w:rsidRDefault="002B7082" w:rsidP="002B7082">
      <w:r w:rsidRPr="001D7951">
        <w:t>UR.BROJ: 2212/02-01/17-01-1</w:t>
      </w:r>
    </w:p>
    <w:p w:rsidR="00873B9C" w:rsidRDefault="00873B9C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891A78" w:rsidRDefault="00891A78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891A78" w:rsidRDefault="00891A78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891A78" w:rsidRDefault="00891A78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891A78" w:rsidRPr="001D7951" w:rsidRDefault="00891A78" w:rsidP="001D7951">
      <w:pPr>
        <w:pStyle w:val="Tijeloteksta1"/>
        <w:spacing w:line="240" w:lineRule="auto"/>
        <w:ind w:left="340" w:right="40"/>
        <w:rPr>
          <w:rFonts w:ascii="Times New Roman" w:hAnsi="Times New Roman" w:cs="Times New Roman"/>
          <w:sz w:val="24"/>
          <w:szCs w:val="24"/>
        </w:rPr>
      </w:pPr>
    </w:p>
    <w:p w:rsidR="00727D64" w:rsidRPr="001D7951" w:rsidRDefault="00727D64" w:rsidP="001D7951">
      <w:pPr>
        <w:pStyle w:val="Tijeloteksta1"/>
        <w:spacing w:line="240" w:lineRule="auto"/>
        <w:ind w:left="340" w:right="40"/>
        <w:jc w:val="left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75F4" w:rsidRPr="001D7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</w:t>
      </w:r>
      <w:r w:rsidRPr="001D7951">
        <w:rPr>
          <w:rFonts w:ascii="Times New Roman" w:hAnsi="Times New Roman" w:cs="Times New Roman"/>
          <w:sz w:val="24"/>
          <w:szCs w:val="24"/>
        </w:rPr>
        <w:t>redsjednik</w:t>
      </w:r>
    </w:p>
    <w:p w:rsidR="00AA75F4" w:rsidRPr="004B0732" w:rsidRDefault="00727D64" w:rsidP="004B0732">
      <w:pPr>
        <w:pStyle w:val="Tijeloteksta1"/>
        <w:spacing w:line="240" w:lineRule="auto"/>
        <w:ind w:left="340" w:right="40"/>
        <w:jc w:val="right"/>
        <w:rPr>
          <w:rFonts w:ascii="Times New Roman" w:hAnsi="Times New Roman" w:cs="Times New Roman"/>
          <w:sz w:val="24"/>
          <w:szCs w:val="24"/>
        </w:rPr>
      </w:pPr>
      <w:r w:rsidRPr="001D7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A75F4" w:rsidRPr="001D7951">
        <w:rPr>
          <w:rFonts w:ascii="Times New Roman" w:hAnsi="Times New Roman" w:cs="Times New Roman"/>
          <w:sz w:val="24"/>
          <w:szCs w:val="24"/>
        </w:rPr>
        <w:t xml:space="preserve">                               O</w:t>
      </w:r>
      <w:r w:rsidRPr="001D7951">
        <w:rPr>
          <w:rFonts w:ascii="Times New Roman" w:hAnsi="Times New Roman" w:cs="Times New Roman"/>
          <w:sz w:val="24"/>
          <w:szCs w:val="24"/>
        </w:rPr>
        <w:t>pćinskog vijeća:</w:t>
      </w:r>
      <w:r w:rsidRPr="001D7951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A75F4" w:rsidRPr="001D7951" w:rsidRDefault="00AA75F4" w:rsidP="001D7951">
      <w:pPr>
        <w:jc w:val="both"/>
      </w:pPr>
    </w:p>
    <w:p w:rsidR="00D81F7A" w:rsidRDefault="00AA75F4" w:rsidP="004B0732">
      <w:pPr>
        <w:ind w:left="5664" w:firstLine="708"/>
        <w:jc w:val="both"/>
      </w:pPr>
      <w:r w:rsidRPr="001D7951">
        <w:t xml:space="preserve">                     </w:t>
      </w:r>
      <w:r w:rsidR="00727D64" w:rsidRPr="001D7951">
        <w:t xml:space="preserve">Jakob </w:t>
      </w:r>
      <w:proofErr w:type="spellStart"/>
      <w:r w:rsidR="00727D64" w:rsidRPr="001D7951">
        <w:t>Verić</w:t>
      </w:r>
      <w:proofErr w:type="spellEnd"/>
    </w:p>
    <w:p w:rsidR="00FC70A4" w:rsidRDefault="00FC70A4" w:rsidP="004B0732">
      <w:pPr>
        <w:ind w:left="5664" w:firstLine="708"/>
        <w:jc w:val="both"/>
      </w:pPr>
    </w:p>
    <w:p w:rsidR="00FC70A4" w:rsidRDefault="00FC70A4" w:rsidP="004B0732">
      <w:pPr>
        <w:ind w:left="5664" w:firstLine="708"/>
        <w:jc w:val="both"/>
      </w:pPr>
    </w:p>
    <w:p w:rsidR="00FC70A4" w:rsidRDefault="00FC70A4" w:rsidP="004B0732">
      <w:pPr>
        <w:ind w:left="5664" w:firstLine="708"/>
        <w:jc w:val="both"/>
      </w:pPr>
    </w:p>
    <w:p w:rsidR="00FC70A4" w:rsidRDefault="00FC70A4" w:rsidP="004B0732">
      <w:pPr>
        <w:ind w:left="5664" w:firstLine="708"/>
        <w:jc w:val="both"/>
      </w:pPr>
    </w:p>
    <w:p w:rsidR="00FC70A4" w:rsidRPr="00443577" w:rsidRDefault="00FC70A4" w:rsidP="00FC70A4">
      <w:r w:rsidRPr="00443577">
        <w:t xml:space="preserve">                 </w:t>
      </w:r>
      <w:r w:rsidRPr="00443577">
        <w:object w:dxaOrig="2925" w:dyaOrig="3870">
          <v:shape id="_x0000_i1026" type="#_x0000_t75" style="width:48.25pt;height:63.15pt" o:ole="">
            <v:imagedata r:id="rId8" o:title=""/>
          </v:shape>
          <o:OLEObject Type="Embed" ProgID="MSPhotoEd.3" ShapeID="_x0000_i1026" DrawAspect="Content" ObjectID="_1554112975" r:id="rId13"/>
        </w:object>
      </w:r>
    </w:p>
    <w:p w:rsidR="00FC70A4" w:rsidRPr="00443577" w:rsidRDefault="00FC70A4" w:rsidP="00FC70A4"/>
    <w:p w:rsidR="00FC70A4" w:rsidRPr="00443577" w:rsidRDefault="00FC70A4" w:rsidP="00FC70A4">
      <w:r w:rsidRPr="00443577">
        <w:t>REPUBLIKA HRVATSKA</w:t>
      </w:r>
    </w:p>
    <w:p w:rsidR="00FC70A4" w:rsidRPr="00443577" w:rsidRDefault="00FC70A4" w:rsidP="00FC70A4">
      <w:r w:rsidRPr="00443577">
        <w:t>VUKOVARSKO-SRIJEMSKA ŽUPANIJA</w:t>
      </w:r>
    </w:p>
    <w:p w:rsidR="00FC70A4" w:rsidRPr="00443577" w:rsidRDefault="00FC70A4" w:rsidP="00FC70A4">
      <w:r w:rsidRPr="00443577">
        <w:t>OPĆINA BABINA GREDA</w:t>
      </w:r>
    </w:p>
    <w:p w:rsidR="00FC70A4" w:rsidRPr="00443577" w:rsidRDefault="00FC70A4" w:rsidP="00FC70A4">
      <w:r w:rsidRPr="00443577">
        <w:t>OPĆINSKO VIJEĆE</w:t>
      </w:r>
    </w:p>
    <w:p w:rsidR="00FC70A4" w:rsidRPr="00443577" w:rsidRDefault="00FC70A4" w:rsidP="00FC70A4">
      <w:r w:rsidRPr="00443577">
        <w:t>KLASA: 302-02/17-</w:t>
      </w:r>
      <w:r>
        <w:t>2</w:t>
      </w:r>
      <w:r w:rsidRPr="00443577">
        <w:t>0/</w:t>
      </w:r>
      <w:r>
        <w:t>2</w:t>
      </w:r>
    </w:p>
    <w:p w:rsidR="00FC70A4" w:rsidRPr="00443577" w:rsidRDefault="00FC70A4" w:rsidP="00FC70A4">
      <w:r w:rsidRPr="00443577">
        <w:t>URBROJ: 2122/02-01/17-01-1</w:t>
      </w:r>
    </w:p>
    <w:p w:rsidR="00FC70A4" w:rsidRPr="00670ED9" w:rsidRDefault="00FC70A4" w:rsidP="00FC70A4">
      <w:r w:rsidRPr="00443577">
        <w:t>Babina Greda</w:t>
      </w:r>
      <w:r w:rsidRPr="00670ED9">
        <w:t xml:space="preserve">, </w:t>
      </w:r>
      <w:r>
        <w:t>13. travnja</w:t>
      </w:r>
      <w:r w:rsidRPr="00670ED9">
        <w:t xml:space="preserve"> 2017. godine</w:t>
      </w:r>
    </w:p>
    <w:p w:rsidR="00FC70A4" w:rsidRPr="00670ED9" w:rsidRDefault="00FC70A4" w:rsidP="00FC70A4">
      <w:pPr>
        <w:ind w:right="4083"/>
        <w:jc w:val="center"/>
      </w:pPr>
    </w:p>
    <w:p w:rsidR="00FC70A4" w:rsidRPr="00670ED9" w:rsidRDefault="00FC70A4" w:rsidP="00FC70A4"/>
    <w:p w:rsidR="00FC70A4" w:rsidRPr="00443577" w:rsidRDefault="00FC70A4" w:rsidP="00FC70A4">
      <w:pPr>
        <w:jc w:val="both"/>
      </w:pPr>
      <w:r w:rsidRPr="00670ED9">
        <w:t xml:space="preserve">Na temelju  članka 35. Zakona o lokalnoj i područnoj (regionalnoj) samoupravi (“Narodne novine”, broj 33/01, 60/01, 129/05, 109/07, 125/08, 36/09, 150/11, 144/12, 19/13 i 137/15) i članka 18. Statuta Općine Babina Greda („Službeni vjesnik“ Vukovarsko – srijemske županije br. 11/09, 04/13 i 03/14) Općinsko vijeće Općine babina Greda na 24. sjednici, održanoj dana </w:t>
      </w:r>
      <w:r>
        <w:t>13. travnja</w:t>
      </w:r>
      <w:r w:rsidRPr="00670ED9">
        <w:t xml:space="preserve"> 2017. godine, donijelo je</w:t>
      </w:r>
      <w:r w:rsidRPr="00443577">
        <w:t xml:space="preserve">  </w:t>
      </w:r>
    </w:p>
    <w:p w:rsidR="00FC70A4" w:rsidRDefault="00FC70A4" w:rsidP="00FC70A4">
      <w:pPr>
        <w:rPr>
          <w:b/>
        </w:rPr>
      </w:pPr>
    </w:p>
    <w:p w:rsidR="00FC70A4" w:rsidRPr="00443577" w:rsidRDefault="00FC70A4" w:rsidP="00FC70A4">
      <w:pPr>
        <w:rPr>
          <w:b/>
        </w:rPr>
      </w:pPr>
    </w:p>
    <w:p w:rsidR="00FC70A4" w:rsidRPr="002E661E" w:rsidRDefault="00FC70A4" w:rsidP="00FC70A4">
      <w:pPr>
        <w:jc w:val="center"/>
        <w:rPr>
          <w:b/>
          <w:sz w:val="40"/>
          <w:szCs w:val="40"/>
        </w:rPr>
      </w:pPr>
      <w:r w:rsidRPr="002E661E">
        <w:rPr>
          <w:b/>
          <w:sz w:val="40"/>
          <w:szCs w:val="40"/>
        </w:rPr>
        <w:t>O D L U K U</w:t>
      </w:r>
    </w:p>
    <w:p w:rsidR="00FC70A4" w:rsidRPr="002E661E" w:rsidRDefault="00FC70A4" w:rsidP="00FC70A4">
      <w:pPr>
        <w:jc w:val="center"/>
        <w:rPr>
          <w:b/>
        </w:rPr>
      </w:pPr>
      <w:r w:rsidRPr="002E661E">
        <w:rPr>
          <w:b/>
        </w:rPr>
        <w:t>pokretanju postupka izrade Strategije razvoja turizma</w:t>
      </w:r>
    </w:p>
    <w:p w:rsidR="00FC70A4" w:rsidRPr="002E661E" w:rsidRDefault="00FC70A4" w:rsidP="00FC70A4">
      <w:pPr>
        <w:jc w:val="center"/>
        <w:rPr>
          <w:b/>
        </w:rPr>
      </w:pPr>
      <w:r w:rsidRPr="002E661E">
        <w:rPr>
          <w:b/>
        </w:rPr>
        <w:t>Općine Babina Greda od 2017. do 2022. godine</w:t>
      </w:r>
    </w:p>
    <w:p w:rsidR="00FC70A4" w:rsidRDefault="00FC70A4" w:rsidP="00FC70A4"/>
    <w:p w:rsidR="00FC70A4" w:rsidRPr="00443577" w:rsidRDefault="00FC70A4" w:rsidP="00FC70A4"/>
    <w:p w:rsidR="00FC70A4" w:rsidRDefault="00FC70A4" w:rsidP="00FC70A4">
      <w:pPr>
        <w:jc w:val="center"/>
        <w:rPr>
          <w:b/>
        </w:rPr>
      </w:pPr>
      <w:r w:rsidRPr="00443577">
        <w:rPr>
          <w:b/>
        </w:rPr>
        <w:t>Članak 1.</w:t>
      </w:r>
    </w:p>
    <w:p w:rsidR="00FC70A4" w:rsidRPr="00443577" w:rsidRDefault="00FC70A4" w:rsidP="00FC70A4">
      <w:pPr>
        <w:jc w:val="center"/>
        <w:rPr>
          <w:b/>
        </w:rPr>
      </w:pPr>
    </w:p>
    <w:p w:rsidR="00FC70A4" w:rsidRPr="00443577" w:rsidRDefault="00FC70A4" w:rsidP="00FC70A4">
      <w:pPr>
        <w:jc w:val="both"/>
      </w:pPr>
      <w:r w:rsidRPr="00443577">
        <w:t xml:space="preserve">Pokreće se postupak izrade Strategije razvoja turizma </w:t>
      </w:r>
      <w:r>
        <w:t>Općine Babina Greda</w:t>
      </w:r>
      <w:r w:rsidRPr="00443577">
        <w:t xml:space="preserve"> od 2017. do 2022. godine (dalje u tekstu: Strategija).</w:t>
      </w:r>
    </w:p>
    <w:p w:rsidR="00FC70A4" w:rsidRPr="00443577" w:rsidRDefault="00FC70A4" w:rsidP="00FC70A4">
      <w:pPr>
        <w:jc w:val="both"/>
      </w:pPr>
    </w:p>
    <w:p w:rsidR="00FC70A4" w:rsidRDefault="00FC70A4" w:rsidP="00FC70A4">
      <w:pPr>
        <w:jc w:val="center"/>
        <w:rPr>
          <w:b/>
        </w:rPr>
      </w:pPr>
      <w:r w:rsidRPr="00443577">
        <w:rPr>
          <w:b/>
        </w:rPr>
        <w:t>Članak 2.</w:t>
      </w:r>
    </w:p>
    <w:p w:rsidR="00FC70A4" w:rsidRPr="00443577" w:rsidRDefault="00FC70A4" w:rsidP="00FC70A4">
      <w:pPr>
        <w:jc w:val="center"/>
        <w:rPr>
          <w:b/>
        </w:rPr>
      </w:pPr>
    </w:p>
    <w:p w:rsidR="00FC70A4" w:rsidRPr="00443577" w:rsidRDefault="00FC70A4" w:rsidP="00FC70A4">
      <w:pPr>
        <w:jc w:val="both"/>
      </w:pPr>
      <w:r w:rsidRPr="00443577">
        <w:t xml:space="preserve">Izradi Strategije pristupa se u cilju valorizacije bogate turističke ponude i načina definiranja turističkih projekta kojima bi se poboljšala kvaliteta postojeće turističke ponude i stvorili preduvjeti za razvoj dodatne turističke ponude i ukupnog razvoja </w:t>
      </w:r>
      <w:r>
        <w:t>Općine Babina Greda</w:t>
      </w:r>
      <w:r w:rsidRPr="00443577">
        <w:t>.</w:t>
      </w:r>
    </w:p>
    <w:p w:rsidR="00FC70A4" w:rsidRDefault="00FC70A4" w:rsidP="00FC70A4">
      <w:pPr>
        <w:jc w:val="both"/>
      </w:pPr>
    </w:p>
    <w:p w:rsidR="00FC70A4" w:rsidRPr="00443577" w:rsidRDefault="00FC70A4" w:rsidP="00FC70A4">
      <w:pPr>
        <w:jc w:val="both"/>
      </w:pPr>
    </w:p>
    <w:p w:rsidR="00FC70A4" w:rsidRDefault="00FC70A4" w:rsidP="00FC70A4">
      <w:pPr>
        <w:jc w:val="center"/>
        <w:rPr>
          <w:b/>
        </w:rPr>
      </w:pPr>
      <w:r w:rsidRPr="00443577">
        <w:rPr>
          <w:b/>
        </w:rPr>
        <w:t>Članak 3.</w:t>
      </w:r>
    </w:p>
    <w:p w:rsidR="00FC70A4" w:rsidRPr="00443577" w:rsidRDefault="00FC70A4" w:rsidP="00FC70A4">
      <w:pPr>
        <w:jc w:val="center"/>
        <w:rPr>
          <w:b/>
        </w:rPr>
      </w:pPr>
    </w:p>
    <w:p w:rsidR="00FC70A4" w:rsidRPr="00443577" w:rsidRDefault="00FC70A4" w:rsidP="00FC70A4">
      <w:pPr>
        <w:jc w:val="both"/>
      </w:pPr>
      <w:r w:rsidRPr="00443577">
        <w:t>Ovlašćuje se načelnik za imenovanje radnih tijela za potrebe izrade Strategije kao i za provođenje svih potrebnih aktivnosti vezanih za izradu Strategije.</w:t>
      </w:r>
    </w:p>
    <w:p w:rsidR="00FC70A4" w:rsidRDefault="00FC70A4" w:rsidP="00FC70A4">
      <w:pPr>
        <w:jc w:val="both"/>
        <w:rPr>
          <w:b/>
        </w:rPr>
      </w:pPr>
    </w:p>
    <w:p w:rsidR="00FC70A4" w:rsidRPr="00443577" w:rsidRDefault="00FC70A4" w:rsidP="00FC70A4">
      <w:pPr>
        <w:jc w:val="both"/>
        <w:rPr>
          <w:b/>
        </w:rPr>
      </w:pPr>
    </w:p>
    <w:p w:rsidR="00FC70A4" w:rsidRDefault="00FC70A4" w:rsidP="00FC70A4">
      <w:pPr>
        <w:jc w:val="center"/>
        <w:rPr>
          <w:b/>
        </w:rPr>
      </w:pPr>
      <w:r w:rsidRPr="00443577">
        <w:rPr>
          <w:b/>
        </w:rPr>
        <w:t>Članak 4.</w:t>
      </w:r>
    </w:p>
    <w:p w:rsidR="00FC70A4" w:rsidRPr="00443577" w:rsidRDefault="00FC70A4" w:rsidP="00FC70A4">
      <w:pPr>
        <w:jc w:val="center"/>
        <w:rPr>
          <w:b/>
        </w:rPr>
      </w:pPr>
    </w:p>
    <w:p w:rsidR="00FC70A4" w:rsidRPr="00443577" w:rsidRDefault="00FC70A4" w:rsidP="00FC70A4">
      <w:pPr>
        <w:tabs>
          <w:tab w:val="left" w:pos="6360"/>
        </w:tabs>
        <w:jc w:val="both"/>
      </w:pPr>
      <w:r w:rsidRPr="00443577">
        <w:lastRenderedPageBreak/>
        <w:t xml:space="preserve">Ova Odluka prilaže se uz Zahtjev za potporu za </w:t>
      </w:r>
      <w:proofErr w:type="spellStart"/>
      <w:r w:rsidRPr="00443577">
        <w:t>Podmjeru</w:t>
      </w:r>
      <w:proofErr w:type="spellEnd"/>
      <w:r w:rsidRPr="00443577">
        <w:t xml:space="preserve"> 7.1. „Sastavljanje i ažuriranje planova za razvoj općina i sela u ruralnim područjima i njihovih temeljnih usluga te planova zaštite i upravljanja koji se odnose na lokalitete natura 2000 i druga područja visoke prirodne vrijednosti,  Tip operacije 7.1.1.  „Sastavljanje i ažuriranje planova za razvoj jedinica lokalne samouprave, a sukladno Članku 8. stavak 1. Pravilnika o provedbi Mjere 07 „Temeljne usluge i obnova sela u ruralnim područjima“ iz Programa ruralnog razvoja Republike Hrvatske za razdoblje 2014. – 2020. („Narodne novine“, broj 71/16 i 15/17).</w:t>
      </w:r>
    </w:p>
    <w:p w:rsidR="00FC70A4" w:rsidRDefault="00FC70A4" w:rsidP="00FC70A4">
      <w:pPr>
        <w:tabs>
          <w:tab w:val="left" w:pos="6360"/>
        </w:tabs>
        <w:jc w:val="both"/>
      </w:pPr>
    </w:p>
    <w:p w:rsidR="00FC70A4" w:rsidRPr="00443577" w:rsidRDefault="00FC70A4" w:rsidP="00FC70A4">
      <w:pPr>
        <w:tabs>
          <w:tab w:val="left" w:pos="6360"/>
        </w:tabs>
        <w:jc w:val="both"/>
      </w:pPr>
    </w:p>
    <w:p w:rsidR="00FC70A4" w:rsidRDefault="00FC70A4" w:rsidP="00FC70A4">
      <w:pPr>
        <w:jc w:val="center"/>
        <w:rPr>
          <w:b/>
        </w:rPr>
      </w:pPr>
      <w:r w:rsidRPr="00443577">
        <w:rPr>
          <w:b/>
        </w:rPr>
        <w:t>Članak 5.</w:t>
      </w:r>
    </w:p>
    <w:p w:rsidR="00FC70A4" w:rsidRPr="00443577" w:rsidRDefault="00FC70A4" w:rsidP="00FC70A4">
      <w:pPr>
        <w:jc w:val="center"/>
        <w:rPr>
          <w:b/>
        </w:rPr>
      </w:pPr>
    </w:p>
    <w:p w:rsidR="00FC70A4" w:rsidRPr="00443577" w:rsidRDefault="00FC70A4" w:rsidP="00FC70A4">
      <w:pPr>
        <w:pStyle w:val="Tijeloteksta2"/>
        <w:rPr>
          <w:rFonts w:ascii="Times New Roman" w:hAnsi="Times New Roman"/>
          <w:sz w:val="24"/>
          <w:szCs w:val="24"/>
        </w:rPr>
      </w:pPr>
      <w:r w:rsidRPr="00443577">
        <w:rPr>
          <w:rFonts w:ascii="Times New Roman" w:hAnsi="Times New Roman"/>
          <w:sz w:val="24"/>
          <w:szCs w:val="24"/>
        </w:rPr>
        <w:t>Ova Odluka stupa na snagu danom donošenja, a objaviti će se u “</w:t>
      </w:r>
      <w:r>
        <w:rPr>
          <w:rFonts w:ascii="Times New Roman" w:hAnsi="Times New Roman"/>
          <w:sz w:val="24"/>
          <w:szCs w:val="24"/>
        </w:rPr>
        <w:t>Službenom vjesniku Vukovarsko – srijemske županije“</w:t>
      </w:r>
    </w:p>
    <w:p w:rsidR="00FC70A4" w:rsidRDefault="00FC70A4" w:rsidP="00FC70A4"/>
    <w:p w:rsidR="00FC70A4" w:rsidRDefault="00FC70A4" w:rsidP="00FC70A4"/>
    <w:p w:rsidR="00FC70A4" w:rsidRDefault="00FC70A4" w:rsidP="00FC70A4"/>
    <w:p w:rsidR="00FC70A4" w:rsidRDefault="00FC70A4" w:rsidP="00FC70A4"/>
    <w:p w:rsidR="00FC70A4" w:rsidRDefault="00FC70A4" w:rsidP="00FC70A4"/>
    <w:p w:rsidR="00FC70A4" w:rsidRDefault="00FC70A4" w:rsidP="00FC70A4"/>
    <w:p w:rsidR="00FC70A4" w:rsidRDefault="00FC70A4" w:rsidP="00FC70A4"/>
    <w:p w:rsidR="00FC70A4" w:rsidRPr="00443577" w:rsidRDefault="00FC70A4" w:rsidP="00FC70A4"/>
    <w:p w:rsidR="00FC70A4" w:rsidRDefault="00FC70A4" w:rsidP="00FC70A4">
      <w:pPr>
        <w:ind w:left="3600"/>
        <w:jc w:val="center"/>
        <w:rPr>
          <w:bCs/>
        </w:rPr>
      </w:pPr>
      <w:r>
        <w:rPr>
          <w:bCs/>
        </w:rPr>
        <w:t>Predsjednik Općinskog vijeća:</w:t>
      </w:r>
    </w:p>
    <w:p w:rsidR="00FC70A4" w:rsidRDefault="00FC70A4" w:rsidP="00FC70A4">
      <w:pPr>
        <w:ind w:left="3600"/>
        <w:jc w:val="center"/>
        <w:rPr>
          <w:bCs/>
        </w:rPr>
      </w:pPr>
    </w:p>
    <w:p w:rsidR="00FC70A4" w:rsidRDefault="00FC70A4" w:rsidP="00FC70A4">
      <w:pPr>
        <w:ind w:left="3600"/>
        <w:jc w:val="center"/>
        <w:rPr>
          <w:bCs/>
        </w:rPr>
      </w:pPr>
    </w:p>
    <w:p w:rsidR="00FC70A4" w:rsidRPr="00443577" w:rsidRDefault="00FC70A4" w:rsidP="00FC70A4">
      <w:pPr>
        <w:ind w:left="3600"/>
        <w:jc w:val="center"/>
        <w:rPr>
          <w:bCs/>
        </w:rPr>
      </w:pPr>
      <w:r>
        <w:rPr>
          <w:bCs/>
        </w:rPr>
        <w:t xml:space="preserve">Jakob </w:t>
      </w:r>
      <w:proofErr w:type="spellStart"/>
      <w:r>
        <w:rPr>
          <w:bCs/>
        </w:rPr>
        <w:t>Verić</w:t>
      </w:r>
      <w:proofErr w:type="spellEnd"/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Default="00FC70A4" w:rsidP="00FC70A4">
      <w:pPr>
        <w:pStyle w:val="box454034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</w:p>
    <w:p w:rsidR="00FC70A4" w:rsidRDefault="00FC70A4" w:rsidP="00FC70A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20. i članka 42. Zakona o lokalnim porezima („Narodne novine“ br. 115/16), i članka 18. Statuta Općine Babina Greda (»Sl. vjesnik« 11/09, 04/13, 03/14) i Suglasnosti Ministarstva financija da Porezna uprava može obavljati poslove utvrđivanja, evidentiranja, nadzora, naplate i ovrhe radi naplate županijskih, općinskih ili gradskih poreza (»Narodne novine« 79/01), Općinsko vijeće Općine Babina Greda na sjednici održanoj dana 13. travnja 2017. godine donosi</w:t>
      </w:r>
    </w:p>
    <w:p w:rsidR="00FC70A4" w:rsidRDefault="00FC70A4" w:rsidP="00FC70A4">
      <w:pPr>
        <w:pStyle w:val="box454034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:rsidR="00FC70A4" w:rsidRDefault="00FC70A4" w:rsidP="00FC70A4">
      <w:pPr>
        <w:pStyle w:val="box454034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OPĆINSKIM POREZIMA OPĆINE BABINA GREDA</w:t>
      </w:r>
    </w:p>
    <w:p w:rsidR="00FC70A4" w:rsidRDefault="00FC70A4" w:rsidP="00FC70A4">
      <w:pPr>
        <w:pStyle w:val="box454034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</w:p>
    <w:p w:rsidR="00FC70A4" w:rsidRDefault="00FC70A4" w:rsidP="00FC70A4">
      <w:pPr>
        <w:pStyle w:val="box454034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I. OPĆE ODREDBE</w:t>
      </w:r>
    </w:p>
    <w:p w:rsidR="00FC70A4" w:rsidRDefault="00FC70A4" w:rsidP="00FC70A4">
      <w:pPr>
        <w:pStyle w:val="box454034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FC70A4" w:rsidRDefault="00FC70A4" w:rsidP="00FC70A4">
      <w:pPr>
        <w:pStyle w:val="box454034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Ovom Odlukom propisuju se vrste poreza koji pripadaju Općini Babina Greda, obveznici plaćanja, porezna stopa i osnovica te način obračuna i plaćanja poreza u skladu sa Zakonom o lokalnim porezima.</w:t>
      </w:r>
    </w:p>
    <w:p w:rsidR="00FC70A4" w:rsidRDefault="00FC70A4" w:rsidP="00FC70A4">
      <w:pPr>
        <w:pStyle w:val="box454034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II. VRSTE POREZA</w:t>
      </w:r>
    </w:p>
    <w:p w:rsidR="00FC70A4" w:rsidRDefault="00FC70A4" w:rsidP="00FC70A4">
      <w:pPr>
        <w:pStyle w:val="box454034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FC70A4" w:rsidRDefault="00FC70A4" w:rsidP="00FC70A4">
      <w:pPr>
        <w:pStyle w:val="box454034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Porezi Općine Babina Greda su:</w:t>
      </w:r>
    </w:p>
    <w:p w:rsidR="00FC70A4" w:rsidRDefault="00FC70A4" w:rsidP="00FC70A4">
      <w:pPr>
        <w:pStyle w:val="box454034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prirez porezu na dohodak,</w:t>
      </w:r>
    </w:p>
    <w:p w:rsidR="00FC70A4" w:rsidRDefault="00FC70A4" w:rsidP="00FC70A4">
      <w:pPr>
        <w:pStyle w:val="box454034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porez na potrošnju i</w:t>
      </w:r>
    </w:p>
    <w:p w:rsidR="00FC70A4" w:rsidRDefault="00FC70A4" w:rsidP="00FC70A4">
      <w:pPr>
        <w:pStyle w:val="box454034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3. porez na nekretnine.</w:t>
      </w:r>
    </w:p>
    <w:p w:rsidR="00FC70A4" w:rsidRDefault="00FC70A4" w:rsidP="00FC70A4">
      <w:pPr>
        <w:pStyle w:val="box454034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1. Prirez porezu na dohodak</w:t>
      </w:r>
    </w:p>
    <w:p w:rsidR="00FC70A4" w:rsidRDefault="00FC70A4" w:rsidP="00FC70A4">
      <w:pPr>
        <w:pStyle w:val="box454034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FC70A4" w:rsidRDefault="00FC70A4" w:rsidP="00FC70A4">
      <w:pPr>
        <w:pStyle w:val="box454034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Prirez porezu na dohodak plaća se po stopi 5%.</w:t>
      </w:r>
    </w:p>
    <w:p w:rsidR="00FC70A4" w:rsidRDefault="00FC70A4" w:rsidP="00FC70A4">
      <w:pPr>
        <w:pStyle w:val="box454034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Prirez porezu na dohodak prihod je proračuna Općine Babina Greda</w:t>
      </w:r>
    </w:p>
    <w:p w:rsidR="00FC70A4" w:rsidRDefault="00FC70A4" w:rsidP="00FC70A4">
      <w:pPr>
        <w:pStyle w:val="box454034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:rsidR="00FC70A4" w:rsidRDefault="00FC70A4" w:rsidP="00FC70A4">
      <w:pPr>
        <w:pStyle w:val="box454034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Obveznik prireza porezu na dohodak je fizička osoba koja ostvaruje dohodak u Republici Hrvatskoj, a na području Općine Babina Greda ima prebivalište ili uobičajeno boravište.</w:t>
      </w:r>
    </w:p>
    <w:p w:rsidR="00FC70A4" w:rsidRDefault="00FC70A4" w:rsidP="00FC70A4">
      <w:pPr>
        <w:pStyle w:val="box454034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</w:p>
    <w:p w:rsidR="00FC70A4" w:rsidRDefault="00FC70A4" w:rsidP="00FC70A4">
      <w:pPr>
        <w:pStyle w:val="box454034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2. Porez na potrošnju</w:t>
      </w:r>
    </w:p>
    <w:p w:rsidR="00FC70A4" w:rsidRDefault="00FC70A4" w:rsidP="00FC70A4">
      <w:pPr>
        <w:pStyle w:val="box454034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5.</w:t>
      </w:r>
    </w:p>
    <w:p w:rsidR="00FC70A4" w:rsidRDefault="00FC70A4" w:rsidP="00FC70A4">
      <w:pPr>
        <w:pStyle w:val="box454034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Porez na potrošnju plaća se na potrošnju alkoholnih i bezalkoholnih pića u ugostiteljskim objektima plaća se po stopi od 3%.</w:t>
      </w:r>
    </w:p>
    <w:p w:rsidR="00FC70A4" w:rsidRDefault="00FC70A4" w:rsidP="00FC70A4">
      <w:pPr>
        <w:pStyle w:val="box454034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Osnovica poreza na potrošnju iz članka 5. ove odluke jest cijena pića po kojoj se pića prodaju u ugostiteljskim objektima umanjena za porez na dodanu vrijednost.</w:t>
      </w:r>
    </w:p>
    <w:p w:rsidR="00FC70A4" w:rsidRDefault="00FC70A4" w:rsidP="00FC70A4">
      <w:pPr>
        <w:pStyle w:val="box454034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6.</w:t>
      </w:r>
    </w:p>
    <w:p w:rsidR="00FC70A4" w:rsidRDefault="00FC70A4" w:rsidP="00FC70A4">
      <w:pPr>
        <w:pStyle w:val="box454034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Obveznik poreza na potrošnju je pravna i fizička osoba koja pruža ugostiteljske usluge na području Općine Babina Greda.</w:t>
      </w:r>
    </w:p>
    <w:p w:rsidR="00FC70A4" w:rsidRDefault="00FC70A4" w:rsidP="00FC70A4">
      <w:pPr>
        <w:pStyle w:val="box454034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7.</w:t>
      </w:r>
    </w:p>
    <w:p w:rsidR="00FC70A4" w:rsidRDefault="00FC70A4" w:rsidP="00FC70A4">
      <w:pPr>
        <w:pStyle w:val="box454034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Obveznicima poreza na potrošnju koji ne plaćaju ili plaćaju niže iznose od propisanih, dospjeli porez na potrošnju će Porezna uprava naplatiti prisilnim putem, na način prisilne naplate poreza na dohodak.</w:t>
      </w:r>
    </w:p>
    <w:p w:rsidR="00FC70A4" w:rsidRDefault="00FC70A4" w:rsidP="00FC70A4">
      <w:pPr>
        <w:pStyle w:val="box454034"/>
        <w:spacing w:before="204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3. Porez na nekretnine</w:t>
      </w:r>
    </w:p>
    <w:p w:rsidR="00FC70A4" w:rsidRDefault="00FC70A4" w:rsidP="00FC70A4">
      <w:pPr>
        <w:pStyle w:val="box454034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8.</w:t>
      </w:r>
    </w:p>
    <w:p w:rsidR="00FC70A4" w:rsidRDefault="00FC70A4" w:rsidP="00FC70A4">
      <w:pPr>
        <w:pStyle w:val="box454034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Posebnom odlukom Općinskog vijeća Općine Babina Greda uredit će se sva pitanja vezana uz utvrđivanje i naplatu poreza na nekretnine, sukladno odredbama Zakona o lokalnim porezima te drugim mjerodavnim propisima i aktima.</w:t>
      </w:r>
    </w:p>
    <w:p w:rsidR="00FC70A4" w:rsidRDefault="00FC70A4" w:rsidP="00FC70A4">
      <w:pPr>
        <w:pStyle w:val="box454034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III. PROVEDBENE ODREDBE</w:t>
      </w:r>
    </w:p>
    <w:p w:rsidR="00FC70A4" w:rsidRDefault="00FC70A4" w:rsidP="00FC70A4">
      <w:pPr>
        <w:pStyle w:val="box454034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9.</w:t>
      </w:r>
    </w:p>
    <w:p w:rsidR="00FC70A4" w:rsidRDefault="00FC70A4" w:rsidP="00FC70A4">
      <w:pPr>
        <w:pStyle w:val="box454034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Općina Babina Greda poslove utvrđivanja, evidentiranja, nadzora, naplate i ovrhe radi naplate općinskih poreza propisanih ovom Odlukom, u cijelosti prenosi na Ministarstvo financija, Poreznu upravu, osim poreza na nekretnine.</w:t>
      </w:r>
    </w:p>
    <w:p w:rsidR="00FC70A4" w:rsidRDefault="00FC70A4" w:rsidP="00FC70A4">
      <w:pPr>
        <w:pStyle w:val="box454034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Ministarstvu financija, Poreznoj upravi za obavljanje poslova iz stavka 1. ovoga članka pripada naknada u iznosu od 5% ukupno naplaćenog poreza.</w:t>
      </w:r>
    </w:p>
    <w:p w:rsidR="00FC70A4" w:rsidRDefault="00FC70A4" w:rsidP="00FC70A4">
      <w:pPr>
        <w:pStyle w:val="box454034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10</w:t>
      </w:r>
    </w:p>
    <w:p w:rsidR="00FC70A4" w:rsidRDefault="00FC70A4" w:rsidP="00FC70A4">
      <w:pPr>
        <w:pStyle w:val="box454034"/>
        <w:spacing w:before="103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S danom primjene ove Odluke prestaje vrijediti Odluka o općinskim porezima („Narodne novine“ br. 124/14).</w:t>
      </w:r>
    </w:p>
    <w:p w:rsidR="00FC70A4" w:rsidRDefault="00FC70A4" w:rsidP="00FC70A4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11.</w:t>
      </w:r>
    </w:p>
    <w:p w:rsidR="00FC70A4" w:rsidRDefault="00FC70A4" w:rsidP="00FC70A4">
      <w:pPr>
        <w:pStyle w:val="box454034"/>
        <w:spacing w:before="103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Ova Odluka stupa na snagu osmog (8) dana od dana objave u „Narodnim novinama“,</w:t>
      </w:r>
      <w:r>
        <w:rPr>
          <w:color w:val="231F20"/>
        </w:rPr>
        <w:tab/>
      </w:r>
    </w:p>
    <w:p w:rsidR="00FC70A4" w:rsidRDefault="00FC70A4" w:rsidP="00FC70A4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103" w:beforeAutospacing="0" w:after="48" w:afterAutospacing="0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410-01/17-10/4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UR.BROJ: 2212/02-01/17-01-1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Babina Greda 13. travnja 2017.</w:t>
      </w:r>
    </w:p>
    <w:p w:rsidR="00FC70A4" w:rsidRDefault="00FC70A4" w:rsidP="00FC70A4">
      <w:pPr>
        <w:pStyle w:val="box454034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0" w:beforeAutospacing="0" w:after="0" w:afterAutospacing="0"/>
        <w:ind w:left="637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Općinskog vijeća</w:t>
      </w:r>
      <w:r>
        <w:rPr>
          <w:rFonts w:ascii="Minion Pro" w:hAnsi="Minion Pro"/>
          <w:color w:val="231F20"/>
        </w:rPr>
        <w:br/>
      </w:r>
    </w:p>
    <w:p w:rsidR="00FC70A4" w:rsidRDefault="00FC70A4" w:rsidP="00FC70A4">
      <w:pPr>
        <w:pStyle w:val="box454034"/>
        <w:spacing w:before="0" w:beforeAutospacing="0" w:after="0" w:afterAutospacing="0"/>
        <w:ind w:left="6372"/>
        <w:jc w:val="center"/>
        <w:textAlignment w:val="baseline"/>
        <w:rPr>
          <w:color w:val="231F20"/>
        </w:rPr>
      </w:pPr>
    </w:p>
    <w:p w:rsidR="00FC70A4" w:rsidRDefault="00FC70A4" w:rsidP="00FC70A4">
      <w:pPr>
        <w:pStyle w:val="box454034"/>
        <w:spacing w:before="0" w:beforeAutospacing="0" w:after="0" w:afterAutospacing="0"/>
        <w:ind w:left="6372"/>
        <w:jc w:val="center"/>
        <w:textAlignment w:val="baseline"/>
        <w:rPr>
          <w:color w:val="231F20"/>
        </w:rPr>
      </w:pPr>
      <w:r>
        <w:rPr>
          <w:color w:val="231F20"/>
        </w:rPr>
        <w:t xml:space="preserve">Jakob </w:t>
      </w:r>
      <w:proofErr w:type="spellStart"/>
      <w:r>
        <w:rPr>
          <w:color w:val="231F20"/>
        </w:rPr>
        <w:t>Verić</w:t>
      </w:r>
      <w:proofErr w:type="spellEnd"/>
    </w:p>
    <w:p w:rsidR="00FC70A4" w:rsidRDefault="00FC70A4" w:rsidP="00FC70A4"/>
    <w:p w:rsidR="00FC70A4" w:rsidRPr="000C69B9" w:rsidRDefault="00FC70A4" w:rsidP="00FC70A4">
      <w:pPr>
        <w:jc w:val="center"/>
      </w:pPr>
      <w:r w:rsidRPr="000C69B9">
        <w:object w:dxaOrig="2925" w:dyaOrig="3870">
          <v:shape id="_x0000_i1027" type="#_x0000_t75" style="width:48.25pt;height:63.15pt" o:ole="">
            <v:imagedata r:id="rId8" o:title=""/>
          </v:shape>
          <o:OLEObject Type="Embed" ProgID="MSPhotoEd.3" ShapeID="_x0000_i1027" DrawAspect="Content" ObjectID="_1554112976" r:id="rId14"/>
        </w:object>
      </w:r>
    </w:p>
    <w:p w:rsidR="00FC70A4" w:rsidRPr="000C69B9" w:rsidRDefault="00FC70A4" w:rsidP="00FC70A4">
      <w:pPr>
        <w:jc w:val="center"/>
      </w:pPr>
    </w:p>
    <w:p w:rsidR="00FC70A4" w:rsidRPr="000C69B9" w:rsidRDefault="00FC70A4" w:rsidP="00FC70A4">
      <w:pPr>
        <w:jc w:val="center"/>
      </w:pPr>
      <w:r w:rsidRPr="000C69B9">
        <w:t>REPUBLIKA HRVATSKA</w:t>
      </w:r>
    </w:p>
    <w:p w:rsidR="00FC70A4" w:rsidRPr="000C69B9" w:rsidRDefault="00FC70A4" w:rsidP="00FC70A4">
      <w:pPr>
        <w:jc w:val="center"/>
      </w:pPr>
      <w:r w:rsidRPr="000C69B9">
        <w:t>VUKOVARSKO-SRIJEMSKA ŽUPANIJA</w:t>
      </w:r>
    </w:p>
    <w:p w:rsidR="00FC70A4" w:rsidRPr="000C69B9" w:rsidRDefault="00FC70A4" w:rsidP="00FC70A4">
      <w:pPr>
        <w:jc w:val="center"/>
      </w:pPr>
      <w:r w:rsidRPr="000C69B9">
        <w:t>OPĆINA BABINA GREDA</w:t>
      </w:r>
    </w:p>
    <w:p w:rsidR="00FC70A4" w:rsidRPr="000C69B9" w:rsidRDefault="00FC70A4" w:rsidP="00FC70A4">
      <w:pPr>
        <w:jc w:val="center"/>
      </w:pPr>
      <w:r>
        <w:t>OPĆINSKO VIJEĆE</w:t>
      </w:r>
    </w:p>
    <w:p w:rsidR="00FC70A4" w:rsidRPr="000C69B9" w:rsidRDefault="00FC70A4" w:rsidP="00FC70A4">
      <w:pPr>
        <w:widowControl w:val="0"/>
        <w:autoSpaceDE w:val="0"/>
        <w:autoSpaceDN w:val="0"/>
        <w:adjustRightInd w:val="0"/>
        <w:jc w:val="center"/>
      </w:pPr>
      <w:r w:rsidRPr="000C69B9">
        <w:t>KLASA: 940-01/1</w:t>
      </w:r>
      <w:r>
        <w:t>7</w:t>
      </w:r>
      <w:r w:rsidRPr="000C69B9">
        <w:t>-10/</w:t>
      </w:r>
      <w:r>
        <w:t>13</w:t>
      </w:r>
    </w:p>
    <w:p w:rsidR="00FC70A4" w:rsidRPr="000C69B9" w:rsidRDefault="00FC70A4" w:rsidP="00FC70A4">
      <w:pPr>
        <w:widowControl w:val="0"/>
        <w:autoSpaceDE w:val="0"/>
        <w:autoSpaceDN w:val="0"/>
        <w:adjustRightInd w:val="0"/>
        <w:jc w:val="center"/>
      </w:pPr>
      <w:r w:rsidRPr="000C69B9">
        <w:t>UR.BROJ: 2212/02-01/1</w:t>
      </w:r>
      <w:r>
        <w:t>7</w:t>
      </w:r>
      <w:r w:rsidRPr="000C69B9">
        <w:t>-01-1</w:t>
      </w:r>
    </w:p>
    <w:p w:rsidR="00FC70A4" w:rsidRDefault="00FC70A4" w:rsidP="00FC70A4"/>
    <w:p w:rsidR="00FC70A4" w:rsidRDefault="00FC70A4" w:rsidP="00FC70A4"/>
    <w:p w:rsidR="00FC70A4" w:rsidRDefault="00FC70A4" w:rsidP="00FC70A4">
      <w:pPr>
        <w:ind w:firstLine="708"/>
      </w:pPr>
      <w:r>
        <w:t xml:space="preserve">Na temelju članka br. 6 „Odluke o uvjetima, načinu i postupku raspolaganja nekretninama u vlasništvu Općine Babina Greda, („Službeni vjesnik“ Vukovarsko – srijemske županije br. 06/16) Općinsko vijeće Općine Babina Greda na svojoj 24. sjednici održanoj dana 13. travnja 2017.g., donosi </w:t>
      </w:r>
    </w:p>
    <w:p w:rsidR="00FC70A4" w:rsidRDefault="00FC70A4" w:rsidP="00FC70A4"/>
    <w:p w:rsidR="00FC70A4" w:rsidRDefault="00FC70A4" w:rsidP="00FC70A4"/>
    <w:p w:rsidR="00FC70A4" w:rsidRDefault="00FC70A4" w:rsidP="00FC70A4">
      <w:pPr>
        <w:jc w:val="center"/>
        <w:rPr>
          <w:b/>
          <w:sz w:val="48"/>
          <w:szCs w:val="48"/>
        </w:rPr>
      </w:pPr>
      <w:r w:rsidRPr="00C4129A">
        <w:rPr>
          <w:b/>
          <w:sz w:val="48"/>
          <w:szCs w:val="48"/>
        </w:rPr>
        <w:t>O D L U K U</w:t>
      </w:r>
    </w:p>
    <w:p w:rsidR="00FC70A4" w:rsidRDefault="00FC70A4" w:rsidP="00FC70A4">
      <w:pPr>
        <w:rPr>
          <w:b/>
          <w:sz w:val="48"/>
          <w:szCs w:val="48"/>
        </w:rPr>
      </w:pPr>
    </w:p>
    <w:p w:rsidR="00FC70A4" w:rsidRDefault="00FC70A4" w:rsidP="00FC70A4">
      <w:pPr>
        <w:jc w:val="center"/>
      </w:pPr>
      <w:r>
        <w:t>Članak 1.</w:t>
      </w:r>
    </w:p>
    <w:p w:rsidR="00FC70A4" w:rsidRPr="00E27F25" w:rsidRDefault="00FC70A4" w:rsidP="00FC70A4">
      <w:pPr>
        <w:jc w:val="center"/>
      </w:pPr>
    </w:p>
    <w:p w:rsidR="00FC70A4" w:rsidRDefault="00FC70A4" w:rsidP="00FC70A4">
      <w:r>
        <w:tab/>
        <w:t xml:space="preserve">Prodaje se građevinsko zemljište na k.č.br. 578 k.o. Babina Greda </w:t>
      </w:r>
      <w:proofErr w:type="spellStart"/>
      <w:r>
        <w:t>zk.ul</w:t>
      </w:r>
      <w:proofErr w:type="spellEnd"/>
      <w:r>
        <w:t xml:space="preserve">. 3161, na adresi Sajmište </w:t>
      </w:r>
      <w:proofErr w:type="spellStart"/>
      <w:r>
        <w:t>bb</w:t>
      </w:r>
      <w:proofErr w:type="spellEnd"/>
      <w:r>
        <w:t>, Babina Greda.</w:t>
      </w:r>
    </w:p>
    <w:p w:rsidR="00FC70A4" w:rsidRDefault="00FC70A4" w:rsidP="00FC70A4"/>
    <w:p w:rsidR="00FC70A4" w:rsidRDefault="00FC70A4" w:rsidP="00FC70A4">
      <w:pPr>
        <w:jc w:val="center"/>
      </w:pPr>
      <w:r>
        <w:t>Članak 2.</w:t>
      </w:r>
    </w:p>
    <w:p w:rsidR="00FC70A4" w:rsidRDefault="00FC70A4" w:rsidP="00FC70A4">
      <w:pPr>
        <w:jc w:val="center"/>
      </w:pPr>
    </w:p>
    <w:p w:rsidR="00FC70A4" w:rsidRDefault="00FC70A4" w:rsidP="00FC70A4">
      <w:r>
        <w:tab/>
        <w:t xml:space="preserve">Površina navedenog građevinskog zemljišta iznosi 4.460 m². </w:t>
      </w:r>
    </w:p>
    <w:p w:rsidR="00FC70A4" w:rsidRDefault="00FC70A4" w:rsidP="00FC70A4"/>
    <w:p w:rsidR="00FC70A4" w:rsidRDefault="00FC70A4" w:rsidP="00FC70A4"/>
    <w:p w:rsidR="00FC70A4" w:rsidRDefault="00FC70A4" w:rsidP="00FC70A4">
      <w:pPr>
        <w:jc w:val="center"/>
      </w:pPr>
      <w:r>
        <w:t>Članak 3.</w:t>
      </w:r>
    </w:p>
    <w:p w:rsidR="00FC70A4" w:rsidRDefault="00FC70A4" w:rsidP="00FC70A4"/>
    <w:p w:rsidR="00FC70A4" w:rsidRDefault="00FC70A4" w:rsidP="00FC70A4">
      <w:r>
        <w:tab/>
        <w:t>Procjena tržišne vrijednosti nekretnine iznosi 28.990,00 € ili 215.395,70 kn.</w:t>
      </w:r>
    </w:p>
    <w:p w:rsidR="00FC70A4" w:rsidRDefault="00FC70A4" w:rsidP="00FC70A4"/>
    <w:p w:rsidR="00FC70A4" w:rsidRDefault="00FC70A4" w:rsidP="00FC70A4"/>
    <w:p w:rsidR="00FC70A4" w:rsidRDefault="00FC70A4" w:rsidP="00FC70A4">
      <w:pPr>
        <w:jc w:val="center"/>
      </w:pPr>
      <w:r>
        <w:t>Članak 4.</w:t>
      </w:r>
    </w:p>
    <w:p w:rsidR="00FC70A4" w:rsidRDefault="00FC70A4" w:rsidP="00FC70A4"/>
    <w:p w:rsidR="00FC70A4" w:rsidRDefault="00FC70A4" w:rsidP="00FC70A4">
      <w:pPr>
        <w:ind w:firstLine="708"/>
      </w:pPr>
      <w:r>
        <w:t>Odluka stupa na snagu danom objave u „Službenom vjesniku“ Vukovarsko – srijemske županije.</w:t>
      </w:r>
    </w:p>
    <w:p w:rsidR="00FC70A4" w:rsidRDefault="00FC70A4" w:rsidP="00FC70A4"/>
    <w:p w:rsidR="00FC70A4" w:rsidRDefault="00FC70A4" w:rsidP="00FC70A4"/>
    <w:p w:rsidR="00FC70A4" w:rsidRDefault="00FC70A4" w:rsidP="00FC70A4">
      <w:pPr>
        <w:ind w:left="5664"/>
      </w:pPr>
      <w:r>
        <w:t xml:space="preserve">       Predsjednik Općinskog vijeća:</w:t>
      </w:r>
    </w:p>
    <w:p w:rsidR="00FC70A4" w:rsidRDefault="00FC70A4" w:rsidP="00FC70A4"/>
    <w:p w:rsidR="00FC70A4" w:rsidRDefault="00FC70A4" w:rsidP="00FC70A4"/>
    <w:p w:rsidR="00FC70A4" w:rsidRPr="00C4129A" w:rsidRDefault="00FC70A4" w:rsidP="00FC70A4">
      <w:pPr>
        <w:ind w:left="5664" w:firstLine="708"/>
      </w:pPr>
      <w:r>
        <w:t xml:space="preserve">          Jakob </w:t>
      </w:r>
      <w:proofErr w:type="spellStart"/>
      <w:r>
        <w:t>Verić</w:t>
      </w:r>
      <w:proofErr w:type="spellEnd"/>
    </w:p>
    <w:p w:rsidR="00FC70A4" w:rsidRDefault="00FC70A4" w:rsidP="00FC70A4">
      <w:pPr>
        <w:jc w:val="both"/>
      </w:pPr>
    </w:p>
    <w:p w:rsidR="00FC70A4" w:rsidRDefault="00FC70A4" w:rsidP="00FC70A4">
      <w:pPr>
        <w:pStyle w:val="Bezproreda"/>
      </w:pPr>
      <w:r>
        <w:t xml:space="preserve">               </w:t>
      </w:r>
      <w:r w:rsidRPr="00BC4329">
        <w:object w:dxaOrig="2925" w:dyaOrig="3870">
          <v:shape id="_x0000_i1028" type="#_x0000_t75" style="width:48.9pt;height:63.15pt" o:ole="">
            <v:imagedata r:id="rId8" o:title=""/>
          </v:shape>
          <o:OLEObject Type="Embed" ProgID="MSPhotoEd.3" ShapeID="_x0000_i1028" DrawAspect="Content" ObjectID="_1554112977" r:id="rId15"/>
        </w:object>
      </w:r>
    </w:p>
    <w:p w:rsidR="00FC70A4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>REPUBLIKA HRVATSKA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>OPĆINA BABINA GREDA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>OPĆINSKO VIJEĆE</w:t>
      </w:r>
    </w:p>
    <w:p w:rsidR="00FC70A4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3E7F71">
        <w:rPr>
          <w:rFonts w:ascii="Times New Roman" w:hAnsi="Times New Roman" w:cs="Times New Roman"/>
          <w:sz w:val="24"/>
          <w:szCs w:val="24"/>
        </w:rPr>
        <w:t>-01/1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F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10/6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F71">
        <w:rPr>
          <w:rFonts w:ascii="Times New Roman" w:hAnsi="Times New Roman" w:cs="Times New Roman"/>
          <w:sz w:val="24"/>
          <w:szCs w:val="24"/>
        </w:rPr>
        <w:t>BROJ: 2212/02-01/1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F71">
        <w:rPr>
          <w:rFonts w:ascii="Times New Roman" w:hAnsi="Times New Roman" w:cs="Times New Roman"/>
          <w:sz w:val="24"/>
          <w:szCs w:val="24"/>
        </w:rPr>
        <w:t>-01-1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 xml:space="preserve">Babina Greda, </w:t>
      </w:r>
      <w:r>
        <w:rPr>
          <w:rFonts w:ascii="Times New Roman" w:hAnsi="Times New Roman" w:cs="Times New Roman"/>
          <w:sz w:val="24"/>
          <w:szCs w:val="24"/>
        </w:rPr>
        <w:t xml:space="preserve">13. travnja </w:t>
      </w:r>
      <w:r w:rsidRPr="003E7F7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7F71">
        <w:rPr>
          <w:rFonts w:ascii="Times New Roman" w:hAnsi="Times New Roman" w:cs="Times New Roman"/>
          <w:sz w:val="24"/>
          <w:szCs w:val="24"/>
        </w:rPr>
        <w:t>. godine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ind w:firstLine="708"/>
        <w:jc w:val="both"/>
      </w:pPr>
      <w:r w:rsidRPr="003E7F71">
        <w:t xml:space="preserve">Na temelju članka 18.  Statuta </w:t>
      </w:r>
      <w:r>
        <w:t>Općine Babina Greda</w:t>
      </w:r>
      <w:r w:rsidRPr="003E7F71">
        <w:t xml:space="preserve">(„Službeni vjesnik“ br. 11/09, 04/13, 03/14), Općinsko vijeće Općine Babina Greda na </w:t>
      </w:r>
      <w:r>
        <w:t xml:space="preserve">svojoj 24. </w:t>
      </w:r>
      <w:r w:rsidRPr="003E7F71">
        <w:t xml:space="preserve">sjednici održanoj </w:t>
      </w:r>
      <w:r>
        <w:t>dana 13. travnja</w:t>
      </w:r>
      <w:r w:rsidRPr="00141AFC">
        <w:t>, 2017. godine, donijelo je</w:t>
      </w:r>
      <w:r>
        <w:t xml:space="preserve"> </w:t>
      </w:r>
    </w:p>
    <w:p w:rsidR="00FC70A4" w:rsidRPr="003E7F71" w:rsidRDefault="00FC70A4" w:rsidP="00FC70A4"/>
    <w:p w:rsidR="00FC70A4" w:rsidRPr="001D66AF" w:rsidRDefault="00FC70A4" w:rsidP="00FC70A4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7F71">
        <w:rPr>
          <w:rFonts w:ascii="Times New Roman" w:hAnsi="Times New Roman" w:cs="Times New Roman"/>
          <w:b/>
          <w:sz w:val="40"/>
          <w:szCs w:val="40"/>
        </w:rPr>
        <w:t>ODLUKU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C70A4" w:rsidRPr="005C667E" w:rsidRDefault="00FC70A4" w:rsidP="00FC70A4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5C667E">
        <w:rPr>
          <w:rFonts w:ascii="Times New Roman" w:hAnsi="Times New Roman" w:cs="Times New Roman"/>
          <w:sz w:val="20"/>
          <w:szCs w:val="20"/>
        </w:rPr>
        <w:t xml:space="preserve">O SUGLASNOSTI ZA PROVEDBU ULAGANJA NA PODRUČJU OPĆINE BABINA GREDA ZA PROJEKT </w:t>
      </w:r>
    </w:p>
    <w:p w:rsidR="00FC70A4" w:rsidRPr="003E7F71" w:rsidRDefault="00FC70A4" w:rsidP="00FC70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C667E">
        <w:rPr>
          <w:rFonts w:ascii="Times New Roman" w:hAnsi="Times New Roman" w:cs="Times New Roman"/>
          <w:sz w:val="20"/>
          <w:szCs w:val="20"/>
        </w:rPr>
        <w:t xml:space="preserve">„IZGRADNJA </w:t>
      </w:r>
      <w:r>
        <w:rPr>
          <w:rFonts w:ascii="Times New Roman" w:hAnsi="Times New Roman" w:cs="Times New Roman"/>
          <w:sz w:val="20"/>
          <w:szCs w:val="20"/>
        </w:rPr>
        <w:t>I OPREMANJE CIVILNOG STRELIŠTA</w:t>
      </w:r>
      <w:r w:rsidRPr="005C667E">
        <w:rPr>
          <w:rFonts w:ascii="Times New Roman" w:hAnsi="Times New Roman" w:cs="Times New Roman"/>
          <w:sz w:val="20"/>
          <w:szCs w:val="20"/>
        </w:rPr>
        <w:t>“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C70A4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>I</w:t>
      </w:r>
    </w:p>
    <w:p w:rsidR="00FC70A4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Suglasnost za provedbu ulaganja na području Općine Babina Greda za projekt </w:t>
      </w:r>
      <w:r w:rsidRPr="005C667E">
        <w:rPr>
          <w:rFonts w:ascii="Times New Roman" w:hAnsi="Times New Roman" w:cs="Times New Roman"/>
          <w:sz w:val="24"/>
          <w:szCs w:val="24"/>
        </w:rPr>
        <w:t xml:space="preserve">„IZGRADNJA </w:t>
      </w:r>
      <w:r>
        <w:rPr>
          <w:rFonts w:ascii="Times New Roman" w:hAnsi="Times New Roman" w:cs="Times New Roman"/>
          <w:sz w:val="24"/>
          <w:szCs w:val="24"/>
        </w:rPr>
        <w:t>I OPREMANJE CIVILNOG STRELIŠTA“</w:t>
      </w:r>
    </w:p>
    <w:p w:rsidR="00FC70A4" w:rsidRDefault="00FC70A4" w:rsidP="00FC70A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0A4" w:rsidRDefault="00FC70A4" w:rsidP="00FC70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70A4" w:rsidRDefault="00FC70A4" w:rsidP="00FC70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FC70A4" w:rsidRDefault="00FC70A4" w:rsidP="00FC70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iz točke I ove Odluke će se financirati po Natječaju unutar mjere 07 „Temeljne usluge i obnova sela u ruralnim područjima“ iz Programa ruralnog razvoja Republike Hrvatske za razdoblje 2014 – 2020 godine.</w:t>
      </w:r>
    </w:p>
    <w:p w:rsidR="00FC70A4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E7F71">
        <w:rPr>
          <w:rFonts w:ascii="Times New Roman" w:hAnsi="Times New Roman" w:cs="Times New Roman"/>
          <w:sz w:val="24"/>
          <w:szCs w:val="24"/>
        </w:rPr>
        <w:t>II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Predsjednik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Općinskog vijeća:</w:t>
      </w:r>
    </w:p>
    <w:p w:rsidR="00FC70A4" w:rsidRPr="003E7F71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70A4" w:rsidRPr="002F2DF5" w:rsidRDefault="00FC70A4" w:rsidP="00FC70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Jakob </w:t>
      </w:r>
      <w:proofErr w:type="spellStart"/>
      <w:r w:rsidRPr="003E7F71">
        <w:rPr>
          <w:rFonts w:ascii="Times New Roman" w:hAnsi="Times New Roman" w:cs="Times New Roman"/>
          <w:sz w:val="24"/>
          <w:szCs w:val="24"/>
        </w:rPr>
        <w:t>Verić</w:t>
      </w:r>
      <w:proofErr w:type="spellEnd"/>
    </w:p>
    <w:p w:rsidR="00FC70A4" w:rsidRPr="008A64B2" w:rsidRDefault="00FC70A4" w:rsidP="00FC70A4">
      <w:pPr>
        <w:jc w:val="center"/>
        <w:rPr>
          <w:b/>
          <w:sz w:val="28"/>
          <w:szCs w:val="28"/>
        </w:rPr>
      </w:pPr>
      <w:r w:rsidRPr="008A64B2">
        <w:rPr>
          <w:b/>
          <w:sz w:val="28"/>
          <w:szCs w:val="28"/>
        </w:rPr>
        <w:lastRenderedPageBreak/>
        <w:t>PRILOG</w:t>
      </w:r>
    </w:p>
    <w:p w:rsidR="00FC70A4" w:rsidRPr="008A64B2" w:rsidRDefault="00FC70A4" w:rsidP="00FC70A4">
      <w:pPr>
        <w:jc w:val="center"/>
        <w:rPr>
          <w:b/>
        </w:rPr>
      </w:pPr>
    </w:p>
    <w:p w:rsidR="00FC70A4" w:rsidRPr="008A64B2" w:rsidRDefault="00FC70A4" w:rsidP="00FC70A4">
      <w:pPr>
        <w:jc w:val="center"/>
        <w:rPr>
          <w:b/>
          <w:sz w:val="28"/>
          <w:szCs w:val="28"/>
        </w:rPr>
      </w:pPr>
      <w:r w:rsidRPr="008A64B2">
        <w:rPr>
          <w:b/>
          <w:sz w:val="28"/>
          <w:szCs w:val="28"/>
        </w:rPr>
        <w:t>UZ ODLUKU PREDSTAVNIČKOG TIJELA JEDINICE LOKALNE SAMOUPRAVE O SUGLASNOSTI ZA PROVEDBU ULAGANJA NA PODRUČJU JEDINICE LOKALNE SAMOUPRAVE</w:t>
      </w:r>
    </w:p>
    <w:p w:rsidR="00FC70A4" w:rsidRPr="008A64B2" w:rsidRDefault="00FC70A4" w:rsidP="00FC70A4">
      <w:pPr>
        <w:jc w:val="center"/>
        <w:rPr>
          <w:b/>
          <w:sz w:val="28"/>
          <w:szCs w:val="28"/>
        </w:rPr>
      </w:pPr>
      <w:r w:rsidRPr="008A64B2">
        <w:rPr>
          <w:b/>
          <w:sz w:val="28"/>
          <w:szCs w:val="28"/>
        </w:rPr>
        <w:t xml:space="preserve">(KLASA: </w:t>
      </w:r>
      <w:r>
        <w:rPr>
          <w:b/>
          <w:sz w:val="28"/>
          <w:szCs w:val="28"/>
        </w:rPr>
        <w:t>360-01/17-10/6</w:t>
      </w:r>
      <w:r w:rsidRPr="008A64B2">
        <w:rPr>
          <w:b/>
          <w:sz w:val="28"/>
          <w:szCs w:val="28"/>
        </w:rPr>
        <w:t xml:space="preserve"> URBROJ: </w:t>
      </w:r>
      <w:r>
        <w:rPr>
          <w:b/>
          <w:sz w:val="28"/>
          <w:szCs w:val="28"/>
        </w:rPr>
        <w:t>2212/02-01/17-01-1</w:t>
      </w:r>
      <w:r w:rsidRPr="008A64B2">
        <w:rPr>
          <w:b/>
          <w:sz w:val="28"/>
          <w:szCs w:val="28"/>
        </w:rPr>
        <w:t xml:space="preserve"> )</w:t>
      </w:r>
    </w:p>
    <w:p w:rsidR="00FC70A4" w:rsidRPr="008A64B2" w:rsidRDefault="00FC70A4" w:rsidP="00FC70A4">
      <w:pPr>
        <w:jc w:val="center"/>
        <w:rPr>
          <w:b/>
          <w:sz w:val="28"/>
          <w:szCs w:val="28"/>
        </w:rPr>
      </w:pPr>
      <w:r w:rsidRPr="008A64B2">
        <w:rPr>
          <w:b/>
          <w:sz w:val="28"/>
          <w:szCs w:val="28"/>
        </w:rPr>
        <w:t>UNUTAR MJERE 07 »TEMELJNE USLUGE I OBNOVA SELA U RURALNIM PODRUČJIMA« IZ PROGRAMA RURALNOG RAZVOJA REPUBLIKE HRVATSKE ZA RAZDOBLJE 2014-2020</w:t>
      </w:r>
    </w:p>
    <w:p w:rsidR="00FC70A4" w:rsidRPr="008A64B2" w:rsidRDefault="00FC70A4" w:rsidP="00FC70A4">
      <w:pPr>
        <w:jc w:val="center"/>
        <w:rPr>
          <w:b/>
          <w:sz w:val="28"/>
          <w:szCs w:val="28"/>
        </w:rPr>
      </w:pPr>
    </w:p>
    <w:p w:rsidR="00FC70A4" w:rsidRPr="008A64B2" w:rsidRDefault="00FC70A4" w:rsidP="00FC70A4">
      <w:pPr>
        <w:jc w:val="center"/>
        <w:rPr>
          <w:b/>
          <w:sz w:val="28"/>
          <w:szCs w:val="28"/>
        </w:rPr>
      </w:pPr>
      <w:r w:rsidRPr="008A64B2">
        <w:rPr>
          <w:b/>
          <w:sz w:val="28"/>
          <w:szCs w:val="28"/>
        </w:rPr>
        <w:t>OPIS PROJEKTA/OPERACIJE</w:t>
      </w:r>
    </w:p>
    <w:p w:rsidR="00FC70A4" w:rsidRPr="008A64B2" w:rsidRDefault="00FC70A4" w:rsidP="00FC70A4">
      <w:pPr>
        <w:jc w:val="center"/>
        <w:rPr>
          <w:b/>
          <w:sz w:val="28"/>
          <w:szCs w:val="28"/>
        </w:rPr>
      </w:pPr>
    </w:p>
    <w:p w:rsidR="00FC70A4" w:rsidRPr="008A64B2" w:rsidRDefault="00FC70A4" w:rsidP="00FC70A4">
      <w:pPr>
        <w:spacing w:after="120"/>
        <w:jc w:val="both"/>
      </w:pPr>
      <w:r w:rsidRPr="008A64B2">
        <w:rPr>
          <w:b/>
        </w:rPr>
        <w:t>1. NAZIV PROJEKTA/OPERACIJE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(navesti naziv projekta iz projektne dokumentacije/građevinske dozvole ili drugog odgovarajućeg dokumenta)</w:t>
      </w:r>
    </w:p>
    <w:p w:rsidR="00FC70A4" w:rsidRPr="000A7896" w:rsidRDefault="00FC70A4" w:rsidP="00FC70A4">
      <w:pPr>
        <w:rPr>
          <w:b/>
        </w:rPr>
      </w:pPr>
      <w:r>
        <w:rPr>
          <w:b/>
        </w:rPr>
        <w:t>Izgradnja i opremanje civilnog strelišta</w:t>
      </w:r>
    </w:p>
    <w:p w:rsidR="00FC70A4" w:rsidRPr="008A64B2" w:rsidRDefault="00FC70A4" w:rsidP="00FC70A4">
      <w:pPr>
        <w:jc w:val="both"/>
      </w:pPr>
      <w:r w:rsidRPr="008A64B2">
        <w:rPr>
          <w:b/>
        </w:rPr>
        <w:t>2. KORISNIK PROJEKTA/OPERACIJE</w:t>
      </w:r>
    </w:p>
    <w:p w:rsidR="00FC70A4" w:rsidRPr="008A64B2" w:rsidRDefault="00FC70A4" w:rsidP="00FC70A4">
      <w:pPr>
        <w:jc w:val="both"/>
      </w:pPr>
      <w:r w:rsidRPr="008A64B2">
        <w:t>2.1. NAZIV KORISNIKA</w:t>
      </w:r>
    </w:p>
    <w:p w:rsidR="00FC70A4" w:rsidRPr="00303DF5" w:rsidRDefault="00FC70A4" w:rsidP="00FC70A4">
      <w:pPr>
        <w:jc w:val="both"/>
        <w:rPr>
          <w:b/>
        </w:rPr>
      </w:pPr>
      <w:r>
        <w:rPr>
          <w:b/>
        </w:rPr>
        <w:t>Lovačka udruga „Jastreb“ Babina Greda</w:t>
      </w:r>
    </w:p>
    <w:p w:rsidR="00FC70A4" w:rsidRPr="008A64B2" w:rsidRDefault="00FC70A4" w:rsidP="00FC70A4">
      <w:pPr>
        <w:jc w:val="both"/>
      </w:pPr>
      <w:r w:rsidRPr="008A64B2">
        <w:t>2.2. PRAVNI STATUS KORISNIKA</w:t>
      </w:r>
    </w:p>
    <w:p w:rsidR="00FC70A4" w:rsidRPr="00303DF5" w:rsidRDefault="00FC70A4" w:rsidP="00FC70A4">
      <w:pPr>
        <w:jc w:val="both"/>
        <w:rPr>
          <w:b/>
        </w:rPr>
      </w:pPr>
      <w:r>
        <w:rPr>
          <w:b/>
        </w:rPr>
        <w:t>Udruga građana</w:t>
      </w:r>
    </w:p>
    <w:p w:rsidR="00FC70A4" w:rsidRPr="008A64B2" w:rsidRDefault="00FC70A4" w:rsidP="00FC70A4">
      <w:pPr>
        <w:jc w:val="both"/>
      </w:pPr>
      <w:r w:rsidRPr="008A64B2">
        <w:t>2.3. ADRESA KORISNIKA</w:t>
      </w:r>
    </w:p>
    <w:p w:rsidR="00FC70A4" w:rsidRPr="00303DF5" w:rsidRDefault="00FC70A4" w:rsidP="00FC70A4">
      <w:pPr>
        <w:jc w:val="both"/>
        <w:rPr>
          <w:b/>
        </w:rPr>
      </w:pPr>
      <w:r w:rsidRPr="00303DF5">
        <w:rPr>
          <w:b/>
        </w:rPr>
        <w:t>Novo naselje 7, 32276 Babina Greda</w:t>
      </w:r>
    </w:p>
    <w:p w:rsidR="00FC70A4" w:rsidRPr="008A64B2" w:rsidRDefault="00FC70A4" w:rsidP="00FC70A4">
      <w:pPr>
        <w:jc w:val="both"/>
      </w:pPr>
      <w:r w:rsidRPr="008A64B2">
        <w:t>2.4. OSOBA OVLAŠTENA ZA ZASTUPANJE</w:t>
      </w:r>
    </w:p>
    <w:p w:rsidR="00FC70A4" w:rsidRPr="00303DF5" w:rsidRDefault="00FC70A4" w:rsidP="00FC70A4">
      <w:pPr>
        <w:jc w:val="both"/>
        <w:rPr>
          <w:b/>
        </w:rPr>
      </w:pPr>
      <w:proofErr w:type="spellStart"/>
      <w:r>
        <w:rPr>
          <w:b/>
        </w:rPr>
        <w:t>Kristian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Katušić</w:t>
      </w:r>
      <w:proofErr w:type="spellEnd"/>
    </w:p>
    <w:p w:rsidR="00FC70A4" w:rsidRPr="008A64B2" w:rsidRDefault="00FC70A4" w:rsidP="00FC70A4">
      <w:pPr>
        <w:jc w:val="both"/>
      </w:pPr>
      <w:r w:rsidRPr="008A64B2">
        <w:t>2.5. KONTAKT</w:t>
      </w:r>
    </w:p>
    <w:p w:rsidR="00FC70A4" w:rsidRDefault="00FC70A4" w:rsidP="00FC70A4">
      <w:pPr>
        <w:jc w:val="both"/>
        <w:rPr>
          <w:b/>
        </w:rPr>
      </w:pPr>
      <w:r>
        <w:rPr>
          <w:b/>
        </w:rPr>
        <w:t>Telefon: 091/509-1672</w:t>
      </w:r>
    </w:p>
    <w:p w:rsidR="00FC70A4" w:rsidRDefault="00FC70A4" w:rsidP="00FC70A4">
      <w:pPr>
        <w:jc w:val="both"/>
        <w:rPr>
          <w:b/>
        </w:rPr>
      </w:pPr>
      <w:proofErr w:type="spellStart"/>
      <w:r>
        <w:rPr>
          <w:b/>
        </w:rPr>
        <w:t>Telefax</w:t>
      </w:r>
      <w:proofErr w:type="spellEnd"/>
      <w:r>
        <w:rPr>
          <w:b/>
        </w:rPr>
        <w:t>: 032/855-024</w:t>
      </w:r>
    </w:p>
    <w:p w:rsidR="00FC70A4" w:rsidRDefault="00FC70A4" w:rsidP="00FC70A4">
      <w:pPr>
        <w:jc w:val="both"/>
        <w:rPr>
          <w:b/>
        </w:rPr>
      </w:pPr>
      <w:r>
        <w:rPr>
          <w:b/>
        </w:rPr>
        <w:t xml:space="preserve">E-mail adresa: </w:t>
      </w:r>
      <w:hyperlink r:id="rId16" w:history="1">
        <w:r w:rsidRPr="00B6278C">
          <w:rPr>
            <w:rStyle w:val="Hiperveza"/>
            <w:b/>
          </w:rPr>
          <w:t>euroauto.babinagreda@gmail.com</w:t>
        </w:r>
      </w:hyperlink>
    </w:p>
    <w:p w:rsidR="00FC70A4" w:rsidRDefault="00FC70A4" w:rsidP="00FC70A4">
      <w:pPr>
        <w:jc w:val="both"/>
        <w:rPr>
          <w:b/>
        </w:rPr>
      </w:pPr>
    </w:p>
    <w:p w:rsidR="00FC70A4" w:rsidRPr="008A64B2" w:rsidRDefault="00FC70A4" w:rsidP="00FC70A4">
      <w:pPr>
        <w:jc w:val="both"/>
      </w:pPr>
      <w:r w:rsidRPr="008A64B2">
        <w:rPr>
          <w:b/>
        </w:rPr>
        <w:t>3. OPIS PROJEKTA/OPERACIJE</w:t>
      </w:r>
    </w:p>
    <w:p w:rsidR="00FC70A4" w:rsidRPr="008A64B2" w:rsidRDefault="00FC70A4" w:rsidP="00FC70A4">
      <w:pPr>
        <w:spacing w:after="120"/>
        <w:jc w:val="both"/>
      </w:pPr>
      <w:r w:rsidRPr="008A64B2">
        <w:t>3.1. PODMJERA I TIP OPERACIJE ZA KOJI SE PROJEKT/OPERACIJA PRIJAVLJUJE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 xml:space="preserve">(navesti </w:t>
      </w:r>
      <w:proofErr w:type="spellStart"/>
      <w:r w:rsidRPr="008A64B2">
        <w:rPr>
          <w:i/>
        </w:rPr>
        <w:t>podmjeru</w:t>
      </w:r>
      <w:proofErr w:type="spellEnd"/>
      <w:r w:rsidRPr="008A64B2">
        <w:rPr>
          <w:i/>
        </w:rPr>
        <w:t>/tip operacije unutar Mjere 07 „Temeljne usluge i obnova sela u ruralnim područjima“ za koju korisnik traži javnu potporu)</w:t>
      </w:r>
    </w:p>
    <w:p w:rsidR="00FC70A4" w:rsidRPr="008A64B2" w:rsidRDefault="00FC70A4" w:rsidP="00FC70A4">
      <w:r w:rsidRPr="008A64B2">
        <w:t>3.1.1. PODMJERA</w:t>
      </w:r>
    </w:p>
    <w:p w:rsidR="00FC70A4" w:rsidRPr="00C35D28" w:rsidRDefault="00FC70A4" w:rsidP="00FC70A4">
      <w:pPr>
        <w:rPr>
          <w:b/>
        </w:rPr>
      </w:pPr>
      <w:proofErr w:type="spellStart"/>
      <w:r>
        <w:rPr>
          <w:b/>
        </w:rPr>
        <w:t>Podmjera</w:t>
      </w:r>
      <w:proofErr w:type="spellEnd"/>
      <w:r>
        <w:rPr>
          <w:b/>
        </w:rPr>
        <w:t xml:space="preserve"> </w:t>
      </w:r>
      <w:r w:rsidRPr="00C35D28">
        <w:rPr>
          <w:b/>
        </w:rPr>
        <w:t>7.4. „Ulaganja u pokretanje, poboljšanje ili proširenje lokalnih temeljnih usluga za ruralno stanovništvo, uključujući slobodno vrijeme i kulturne aktivnosti te povezanu infrastrukturu“</w:t>
      </w:r>
    </w:p>
    <w:p w:rsidR="00FC70A4" w:rsidRPr="008A64B2" w:rsidRDefault="00FC70A4" w:rsidP="00FC70A4">
      <w:r w:rsidRPr="008A64B2">
        <w:t>3.1.2. TIP OPERACIJE</w:t>
      </w:r>
    </w:p>
    <w:p w:rsidR="00FC70A4" w:rsidRDefault="00FC70A4" w:rsidP="00FC70A4">
      <w:pPr>
        <w:jc w:val="both"/>
        <w:rPr>
          <w:b/>
        </w:rPr>
      </w:pPr>
      <w:r>
        <w:rPr>
          <w:b/>
        </w:rPr>
        <w:t xml:space="preserve">Tip operacije </w:t>
      </w:r>
      <w:r w:rsidRPr="00C35D28">
        <w:rPr>
          <w:b/>
        </w:rPr>
        <w:t>7.4.1.</w:t>
      </w:r>
      <w:r>
        <w:t xml:space="preserve"> </w:t>
      </w:r>
      <w:r w:rsidRPr="00C35D28">
        <w:rPr>
          <w:b/>
        </w:rPr>
        <w:t>„Ulaganja u pokretanje, poboljšanje ili proširenje lokalnih temeljnih usluga za ruralno stanovništvo, uključujući slobodno vrijeme i kulturne aktivnosti te povezanu infrastrukturu“</w:t>
      </w: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jc w:val="both"/>
      </w:pPr>
      <w:r w:rsidRPr="008A64B2">
        <w:t>3.2. MJESTO PROVEDBE</w:t>
      </w:r>
    </w:p>
    <w:p w:rsidR="00FC70A4" w:rsidRPr="008A64B2" w:rsidRDefault="00FC70A4" w:rsidP="00FC70A4">
      <w:pPr>
        <w:jc w:val="both"/>
      </w:pPr>
      <w:r w:rsidRPr="008A64B2">
        <w:t>3.2.1. ŽUPANIJA</w:t>
      </w:r>
    </w:p>
    <w:p w:rsidR="00FC70A4" w:rsidRPr="00C35D28" w:rsidRDefault="00FC70A4" w:rsidP="00FC70A4">
      <w:pPr>
        <w:jc w:val="both"/>
        <w:rPr>
          <w:b/>
        </w:rPr>
      </w:pPr>
      <w:r w:rsidRPr="00C35D28">
        <w:rPr>
          <w:b/>
        </w:rPr>
        <w:t>Vukovarsko - srijemska</w:t>
      </w:r>
    </w:p>
    <w:p w:rsidR="00FC70A4" w:rsidRPr="008A64B2" w:rsidRDefault="00FC70A4" w:rsidP="00FC70A4">
      <w:pPr>
        <w:jc w:val="both"/>
      </w:pPr>
      <w:r w:rsidRPr="008A64B2">
        <w:lastRenderedPageBreak/>
        <w:t>3.2.2. GRAD/OPĆINA</w:t>
      </w:r>
    </w:p>
    <w:p w:rsidR="00FC70A4" w:rsidRPr="00C35D28" w:rsidRDefault="00FC70A4" w:rsidP="00FC70A4">
      <w:pPr>
        <w:jc w:val="both"/>
        <w:rPr>
          <w:b/>
        </w:rPr>
      </w:pPr>
      <w:r w:rsidRPr="00C35D28">
        <w:rPr>
          <w:b/>
        </w:rPr>
        <w:t>Babina Greda</w:t>
      </w:r>
    </w:p>
    <w:p w:rsidR="00FC70A4" w:rsidRPr="008A64B2" w:rsidRDefault="00FC70A4" w:rsidP="00FC70A4">
      <w:pPr>
        <w:jc w:val="both"/>
      </w:pPr>
      <w:r w:rsidRPr="008A64B2">
        <w:t>3.2.3. NASELJE/NASELJA</w:t>
      </w:r>
    </w:p>
    <w:p w:rsidR="00FC70A4" w:rsidRDefault="00FC70A4" w:rsidP="00FC70A4">
      <w:pPr>
        <w:jc w:val="both"/>
        <w:rPr>
          <w:b/>
        </w:rPr>
      </w:pPr>
      <w:r w:rsidRPr="00C35D28">
        <w:rPr>
          <w:b/>
        </w:rPr>
        <w:t>Babina Greda</w:t>
      </w:r>
    </w:p>
    <w:p w:rsidR="00FC70A4" w:rsidRPr="00C35D28" w:rsidRDefault="00FC70A4" w:rsidP="00FC70A4">
      <w:pPr>
        <w:jc w:val="both"/>
        <w:rPr>
          <w:b/>
        </w:rPr>
      </w:pPr>
    </w:p>
    <w:p w:rsidR="00FC70A4" w:rsidRPr="008A64B2" w:rsidRDefault="00FC70A4" w:rsidP="00FC70A4">
      <w:pPr>
        <w:spacing w:after="120"/>
        <w:jc w:val="both"/>
      </w:pPr>
      <w:r w:rsidRPr="008A64B2">
        <w:t>3.3. CILJEVI PROJEKTA/OPERACIJE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(navesti ciljeve koji će se ostvariti provedbom projekta/operacije; najmanje 300, a najviše 800 znakova)</w:t>
      </w:r>
    </w:p>
    <w:p w:rsidR="00FC70A4" w:rsidRDefault="00FC70A4" w:rsidP="00FC70A4">
      <w:pPr>
        <w:spacing w:after="120"/>
        <w:jc w:val="both"/>
        <w:rPr>
          <w:b/>
        </w:rPr>
      </w:pPr>
      <w:r>
        <w:rPr>
          <w:b/>
        </w:rPr>
        <w:t>Lovačka udruga „Jastreb“ osnovana je 1997. godine s ciljem provedbe lovno-gospodarske osnove, uzgoja i zaštite divljači, lova divljači, njegovanja lovačke etičke te unapređenje lovnog streljaštva. Ciljevi koji će se ostvariti provedbom ovog projekta/operacije prvenstveno se odnose na podizanje kvalitete života u ruralnom području. U tom smislu, ciljevi koji će se ostvariti su: A) stvaranje pretpostavki za razvoj lovstva; B) stvaranje pretpostavki za razvoj sporta (streljaštva).</w:t>
      </w: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Pr="001C3083" w:rsidRDefault="00FC70A4" w:rsidP="00FC70A4">
      <w:pPr>
        <w:spacing w:after="120"/>
        <w:jc w:val="both"/>
        <w:rPr>
          <w:b/>
        </w:rPr>
      </w:pPr>
    </w:p>
    <w:p w:rsidR="00FC70A4" w:rsidRPr="008A64B2" w:rsidRDefault="00FC70A4" w:rsidP="00FC70A4">
      <w:pPr>
        <w:spacing w:after="120"/>
        <w:jc w:val="both"/>
      </w:pPr>
      <w:r w:rsidRPr="008A64B2">
        <w:t>3.4. OČEKIVANI REZULTATI PROJEKTA/OPERACIJE</w:t>
      </w:r>
    </w:p>
    <w:p w:rsidR="00FC70A4" w:rsidRPr="008A64B2" w:rsidRDefault="00FC70A4" w:rsidP="00FC70A4">
      <w:pPr>
        <w:jc w:val="both"/>
      </w:pPr>
      <w:r w:rsidRPr="008A64B2">
        <w:t>3.4.1. Očekivani rezultati i mjerljivi indikatori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(navesti očekivane rezultate u odnosu na početno stanje i mjerljive indikatore</w:t>
      </w:r>
      <w:r>
        <w:rPr>
          <w:i/>
        </w:rPr>
        <w:t xml:space="preserve"> </w:t>
      </w:r>
      <w:r w:rsidRPr="008A64B2">
        <w:rPr>
          <w:i/>
        </w:rPr>
        <w:t>očekivanih rezultata za svaki od postavljenih ciljeva; najmanje 300, a najviše 800 znakova)</w:t>
      </w:r>
    </w:p>
    <w:p w:rsidR="00FC70A4" w:rsidRDefault="00FC70A4" w:rsidP="00FC70A4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CILJ A</w:t>
      </w:r>
    </w:p>
    <w:p w:rsidR="00FC70A4" w:rsidRDefault="00FC70A4" w:rsidP="00FC70A4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Očekivani rezultat: Izgrađeno i opremljeno civilno strelište</w:t>
      </w:r>
    </w:p>
    <w:p w:rsidR="00FC70A4" w:rsidRDefault="00FC70A4" w:rsidP="00FC70A4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Indikator: 1 izgrađeno i opremljeno civilno strelište</w:t>
      </w:r>
    </w:p>
    <w:p w:rsidR="00FC70A4" w:rsidRDefault="00FC70A4" w:rsidP="00FC70A4">
      <w:pPr>
        <w:spacing w:before="120"/>
        <w:jc w:val="both"/>
        <w:rPr>
          <w:rFonts w:eastAsia="Calibri"/>
          <w:b/>
        </w:rPr>
      </w:pPr>
    </w:p>
    <w:p w:rsidR="00FC70A4" w:rsidRDefault="00FC70A4" w:rsidP="00FC70A4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CILJ B</w:t>
      </w:r>
    </w:p>
    <w:p w:rsidR="00FC70A4" w:rsidRDefault="00FC70A4" w:rsidP="00FC70A4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Očekivani rezultat: Uključivanje mladih u bavljenje streljaštvom</w:t>
      </w:r>
    </w:p>
    <w:p w:rsidR="00FC70A4" w:rsidRPr="00415464" w:rsidRDefault="00FC70A4" w:rsidP="00FC70A4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Indikator: 100 osoba uključenih u bavljenje lovnim i sportskim streljaštvom </w:t>
      </w:r>
    </w:p>
    <w:p w:rsidR="00FC70A4" w:rsidRDefault="00FC70A4" w:rsidP="00FC70A4">
      <w:pPr>
        <w:spacing w:before="120"/>
        <w:jc w:val="both"/>
        <w:rPr>
          <w:rFonts w:eastAsia="Calibri"/>
        </w:rPr>
      </w:pPr>
    </w:p>
    <w:p w:rsidR="00FC70A4" w:rsidRDefault="00FC70A4" w:rsidP="00FC70A4">
      <w:pPr>
        <w:spacing w:before="120"/>
        <w:jc w:val="both"/>
        <w:rPr>
          <w:rFonts w:eastAsia="Calibri"/>
        </w:rPr>
      </w:pPr>
    </w:p>
    <w:p w:rsidR="00FC70A4" w:rsidRPr="008A64B2" w:rsidRDefault="00FC70A4" w:rsidP="00FC70A4">
      <w:pPr>
        <w:spacing w:before="120"/>
        <w:jc w:val="both"/>
        <w:rPr>
          <w:rFonts w:eastAsia="Calibri"/>
        </w:rPr>
      </w:pPr>
      <w:r w:rsidRPr="008A64B2">
        <w:rPr>
          <w:rFonts w:eastAsia="Calibri"/>
        </w:rPr>
        <w:t>3.4.</w:t>
      </w:r>
      <w:r>
        <w:rPr>
          <w:rFonts w:eastAsia="Calibri"/>
        </w:rPr>
        <w:t>2</w:t>
      </w:r>
      <w:r w:rsidRPr="008A64B2">
        <w:rPr>
          <w:rFonts w:eastAsia="Calibri"/>
        </w:rPr>
        <w:t>. Stvaranje novih radnih mjesta</w:t>
      </w:r>
    </w:p>
    <w:p w:rsidR="00FC70A4" w:rsidRPr="008A64B2" w:rsidRDefault="00FC70A4" w:rsidP="00FC70A4">
      <w:pPr>
        <w:jc w:val="both"/>
        <w:rPr>
          <w:rFonts w:eastAsia="Calibri"/>
        </w:rPr>
      </w:pPr>
    </w:p>
    <w:p w:rsidR="00FC70A4" w:rsidRPr="008A64B2" w:rsidRDefault="00FC70A4" w:rsidP="00FC70A4">
      <w:pPr>
        <w:spacing w:after="120"/>
        <w:jc w:val="both"/>
        <w:rPr>
          <w:rFonts w:eastAsia="Calibri"/>
        </w:rPr>
      </w:pPr>
      <w:r w:rsidRPr="008A64B2">
        <w:rPr>
          <w:rFonts w:eastAsia="Calibri"/>
        </w:rPr>
        <w:t xml:space="preserve">Pridonosi li projekt stvaranju novih radnih mjesta?                 </w:t>
      </w:r>
      <w:r w:rsidRPr="008A64B2">
        <w:rPr>
          <w:rFonts w:eastAsia="Calibri"/>
          <w:b/>
          <w:bCs/>
        </w:rPr>
        <w:t xml:space="preserve">DA / </w:t>
      </w:r>
      <w:r w:rsidRPr="00A96EC8">
        <w:rPr>
          <w:rFonts w:eastAsia="Calibri"/>
          <w:b/>
          <w:bCs/>
          <w:bdr w:val="single" w:sz="4" w:space="0" w:color="auto"/>
        </w:rPr>
        <w:t>NE</w:t>
      </w:r>
    </w:p>
    <w:p w:rsidR="00FC70A4" w:rsidRPr="008A64B2" w:rsidRDefault="00FC70A4" w:rsidP="00FC70A4">
      <w:pPr>
        <w:jc w:val="both"/>
        <w:rPr>
          <w:rFonts w:eastAsia="Calibri"/>
        </w:rPr>
      </w:pPr>
      <w:r w:rsidRPr="008A64B2">
        <w:rPr>
          <w:rFonts w:eastAsia="Calibri"/>
          <w:i/>
          <w:iCs/>
        </w:rPr>
        <w:t>(Zaokružiti odgovor koji je primjenjiv za projekt)</w:t>
      </w:r>
    </w:p>
    <w:p w:rsidR="00FC70A4" w:rsidRPr="008A64B2" w:rsidRDefault="00FC70A4" w:rsidP="00FC70A4">
      <w:pPr>
        <w:jc w:val="both"/>
        <w:rPr>
          <w:rFonts w:eastAsia="Calibri"/>
        </w:rPr>
      </w:pPr>
    </w:p>
    <w:p w:rsidR="00FC70A4" w:rsidRPr="008A64B2" w:rsidRDefault="00FC70A4" w:rsidP="00FC70A4">
      <w:pPr>
        <w:spacing w:after="240"/>
        <w:jc w:val="both"/>
        <w:rPr>
          <w:rFonts w:eastAsia="Calibri"/>
        </w:rPr>
      </w:pPr>
      <w:r w:rsidRPr="008A64B2">
        <w:rPr>
          <w:rFonts w:eastAsia="Calibri"/>
        </w:rPr>
        <w:t xml:space="preserve">Ako je odgovor </w:t>
      </w:r>
      <w:r>
        <w:rPr>
          <w:rFonts w:eastAsia="Calibri"/>
        </w:rPr>
        <w:t>''</w:t>
      </w:r>
      <w:r w:rsidRPr="008A64B2">
        <w:rPr>
          <w:rFonts w:eastAsia="Calibri"/>
        </w:rPr>
        <w:t>DA</w:t>
      </w:r>
      <w:r>
        <w:rPr>
          <w:rFonts w:eastAsia="Calibri"/>
        </w:rPr>
        <w:t>''</w:t>
      </w:r>
      <w:r w:rsidRPr="008A64B2">
        <w:rPr>
          <w:rFonts w:eastAsia="Calibri"/>
        </w:rPr>
        <w:t>:</w:t>
      </w:r>
    </w:p>
    <w:p w:rsidR="00FC70A4" w:rsidRPr="008A64B2" w:rsidRDefault="00FC70A4" w:rsidP="00FC70A4">
      <w:pPr>
        <w:numPr>
          <w:ilvl w:val="0"/>
          <w:numId w:val="2"/>
        </w:numPr>
        <w:ind w:left="426" w:hanging="426"/>
        <w:contextualSpacing/>
        <w:jc w:val="both"/>
        <w:rPr>
          <w:rFonts w:eastAsia="Calibri"/>
        </w:rPr>
      </w:pPr>
      <w:r w:rsidRPr="008A64B2">
        <w:rPr>
          <w:rFonts w:eastAsia="Calibri"/>
        </w:rPr>
        <w:t>opisati na koji način projekt doprinosi stvaranju novih radnih mjesta (izravno i/ili neizravno)</w:t>
      </w:r>
    </w:p>
    <w:p w:rsidR="00FC70A4" w:rsidRPr="008A64B2" w:rsidRDefault="00FC70A4" w:rsidP="00FC70A4">
      <w:pPr>
        <w:contextualSpacing/>
        <w:jc w:val="both"/>
        <w:rPr>
          <w:rFonts w:eastAsia="Calibri"/>
        </w:rPr>
      </w:pPr>
    </w:p>
    <w:p w:rsidR="00FC70A4" w:rsidRPr="004937F8" w:rsidRDefault="00FC70A4" w:rsidP="00FC70A4">
      <w:pPr>
        <w:jc w:val="both"/>
      </w:pPr>
      <w:r w:rsidRPr="004937F8">
        <w:t>______________________________________________________________________________</w:t>
      </w: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numPr>
          <w:ilvl w:val="0"/>
          <w:numId w:val="2"/>
        </w:numPr>
        <w:ind w:left="426" w:hanging="426"/>
        <w:contextualSpacing/>
        <w:jc w:val="both"/>
        <w:rPr>
          <w:rFonts w:eastAsia="Calibri"/>
        </w:rPr>
      </w:pPr>
      <w:r w:rsidRPr="008A64B2">
        <w:rPr>
          <w:rFonts w:eastAsia="Calibri"/>
        </w:rPr>
        <w:t>opisati nova radna mjesta koja se planiraju ostvariti provedbom projekta</w:t>
      </w:r>
    </w:p>
    <w:p w:rsidR="00FC70A4" w:rsidRPr="008A64B2" w:rsidRDefault="00FC70A4" w:rsidP="00FC70A4">
      <w:pPr>
        <w:ind w:left="426"/>
        <w:contextualSpacing/>
        <w:jc w:val="both"/>
        <w:rPr>
          <w:rFonts w:eastAsia="Calibri"/>
        </w:rPr>
      </w:pPr>
      <w:r w:rsidRPr="008A64B2">
        <w:rPr>
          <w:rFonts w:eastAsia="Calibri"/>
          <w:i/>
          <w:iCs/>
        </w:rPr>
        <w:t xml:space="preserve">(Navesti u tablici vrstu radnog mjesta, planirani broj </w:t>
      </w:r>
      <w:r>
        <w:rPr>
          <w:rFonts w:eastAsia="Calibri"/>
          <w:i/>
          <w:iCs/>
        </w:rPr>
        <w:t xml:space="preserve">radnih mjesta </w:t>
      </w:r>
      <w:r w:rsidRPr="008A64B2">
        <w:rPr>
          <w:rFonts w:eastAsia="Calibri"/>
          <w:i/>
          <w:iCs/>
        </w:rPr>
        <w:t xml:space="preserve">i planirano razdoblje/godinu ostvarenja </w:t>
      </w:r>
      <w:r>
        <w:rPr>
          <w:rFonts w:eastAsia="Calibri"/>
          <w:i/>
          <w:iCs/>
        </w:rPr>
        <w:t xml:space="preserve">novog radnog mjesta </w:t>
      </w:r>
      <w:r w:rsidRPr="008A64B2">
        <w:rPr>
          <w:rFonts w:eastAsia="Calibri"/>
          <w:i/>
          <w:iCs/>
        </w:rPr>
        <w:t>tijekom provedbe projekta)</w:t>
      </w:r>
    </w:p>
    <w:p w:rsidR="00FC70A4" w:rsidRPr="008A64B2" w:rsidRDefault="00FC70A4" w:rsidP="00FC70A4">
      <w:pPr>
        <w:ind w:left="720"/>
        <w:contextualSpacing/>
        <w:jc w:val="both"/>
        <w:rPr>
          <w:rFonts w:eastAsia="Calibri"/>
        </w:rPr>
      </w:pPr>
    </w:p>
    <w:p w:rsidR="00FC70A4" w:rsidRDefault="00FC70A4" w:rsidP="00FC70A4">
      <w:pPr>
        <w:ind w:left="720"/>
        <w:contextualSpacing/>
        <w:jc w:val="center"/>
        <w:rPr>
          <w:rFonts w:eastAsia="Calibri"/>
        </w:rPr>
      </w:pPr>
      <w:r w:rsidRPr="008A64B2">
        <w:rPr>
          <w:rFonts w:eastAsia="Calibri"/>
        </w:rPr>
        <w:t>Tablica</w:t>
      </w:r>
      <w:r>
        <w:rPr>
          <w:rFonts w:eastAsia="Calibri"/>
        </w:rPr>
        <w:t xml:space="preserve"> 1</w:t>
      </w:r>
      <w:r w:rsidRPr="008A64B2">
        <w:rPr>
          <w:rFonts w:eastAsia="Calibri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FC70A4" w:rsidTr="000A2399">
        <w:trPr>
          <w:jc w:val="center"/>
        </w:trPr>
        <w:tc>
          <w:tcPr>
            <w:tcW w:w="696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  <w:r w:rsidRPr="002320C5">
              <w:rPr>
                <w:rFonts w:eastAsia="Calibri"/>
              </w:rPr>
              <w:t>R.b</w:t>
            </w:r>
            <w:r>
              <w:rPr>
                <w:rFonts w:eastAsia="Calibri"/>
              </w:rPr>
              <w:t>r</w:t>
            </w:r>
            <w:r w:rsidRPr="002320C5">
              <w:rPr>
                <w:rFonts w:eastAsia="Calibri"/>
              </w:rPr>
              <w:t>.</w:t>
            </w:r>
          </w:p>
        </w:tc>
        <w:tc>
          <w:tcPr>
            <w:tcW w:w="4690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  <w:r w:rsidRPr="002320C5">
              <w:rPr>
                <w:rFonts w:eastAsia="Calibri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  <w:r w:rsidRPr="002320C5">
              <w:rPr>
                <w:rFonts w:eastAsia="Calibri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  <w:r w:rsidRPr="002320C5">
              <w:rPr>
                <w:rFonts w:eastAsia="Calibri"/>
              </w:rPr>
              <w:t>Planirana godina ili planirano razdoblje stvaranja novog radnog mjesta nakon realizacije projekta</w:t>
            </w:r>
          </w:p>
        </w:tc>
      </w:tr>
      <w:tr w:rsidR="00FC70A4" w:rsidTr="000A2399">
        <w:trPr>
          <w:trHeight w:val="482"/>
          <w:jc w:val="center"/>
        </w:trPr>
        <w:tc>
          <w:tcPr>
            <w:tcW w:w="696" w:type="dxa"/>
            <w:vAlign w:val="center"/>
          </w:tcPr>
          <w:p w:rsidR="00FC70A4" w:rsidRDefault="00FC70A4" w:rsidP="000A2399">
            <w:pPr>
              <w:contextualSpacing/>
              <w:rPr>
                <w:rFonts w:eastAsia="Calibri"/>
              </w:rPr>
            </w:pPr>
          </w:p>
        </w:tc>
        <w:tc>
          <w:tcPr>
            <w:tcW w:w="4690" w:type="dxa"/>
            <w:vAlign w:val="center"/>
          </w:tcPr>
          <w:p w:rsidR="00FC70A4" w:rsidRDefault="00FC70A4" w:rsidP="000A2399">
            <w:pPr>
              <w:contextualSpacing/>
              <w:rPr>
                <w:rFonts w:eastAsia="Calibri"/>
              </w:rPr>
            </w:pPr>
          </w:p>
        </w:tc>
        <w:tc>
          <w:tcPr>
            <w:tcW w:w="1415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03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FC70A4" w:rsidTr="000A2399">
        <w:trPr>
          <w:trHeight w:val="482"/>
          <w:jc w:val="center"/>
        </w:trPr>
        <w:tc>
          <w:tcPr>
            <w:tcW w:w="696" w:type="dxa"/>
            <w:vAlign w:val="center"/>
          </w:tcPr>
          <w:p w:rsidR="00FC70A4" w:rsidRDefault="00FC70A4" w:rsidP="000A2399">
            <w:pPr>
              <w:contextualSpacing/>
              <w:rPr>
                <w:rFonts w:eastAsia="Calibri"/>
              </w:rPr>
            </w:pPr>
          </w:p>
        </w:tc>
        <w:tc>
          <w:tcPr>
            <w:tcW w:w="4690" w:type="dxa"/>
            <w:vAlign w:val="center"/>
          </w:tcPr>
          <w:p w:rsidR="00FC70A4" w:rsidRDefault="00FC70A4" w:rsidP="000A2399">
            <w:pPr>
              <w:contextualSpacing/>
              <w:rPr>
                <w:rFonts w:eastAsia="Calibri"/>
              </w:rPr>
            </w:pPr>
          </w:p>
        </w:tc>
        <w:tc>
          <w:tcPr>
            <w:tcW w:w="1415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03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FC70A4" w:rsidTr="000A2399">
        <w:trPr>
          <w:trHeight w:val="482"/>
          <w:jc w:val="center"/>
        </w:trPr>
        <w:tc>
          <w:tcPr>
            <w:tcW w:w="696" w:type="dxa"/>
            <w:vAlign w:val="center"/>
          </w:tcPr>
          <w:p w:rsidR="00FC70A4" w:rsidRDefault="00FC70A4" w:rsidP="000A2399">
            <w:pPr>
              <w:contextualSpacing/>
              <w:rPr>
                <w:rFonts w:eastAsia="Calibri"/>
              </w:rPr>
            </w:pPr>
          </w:p>
        </w:tc>
        <w:tc>
          <w:tcPr>
            <w:tcW w:w="4690" w:type="dxa"/>
            <w:vAlign w:val="center"/>
          </w:tcPr>
          <w:p w:rsidR="00FC70A4" w:rsidRDefault="00FC70A4" w:rsidP="000A2399">
            <w:pPr>
              <w:contextualSpacing/>
              <w:rPr>
                <w:rFonts w:eastAsia="Calibri"/>
              </w:rPr>
            </w:pPr>
          </w:p>
        </w:tc>
        <w:tc>
          <w:tcPr>
            <w:tcW w:w="1415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03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FC70A4" w:rsidTr="000A2399">
        <w:trPr>
          <w:trHeight w:val="482"/>
          <w:jc w:val="center"/>
        </w:trPr>
        <w:tc>
          <w:tcPr>
            <w:tcW w:w="696" w:type="dxa"/>
            <w:vAlign w:val="center"/>
          </w:tcPr>
          <w:p w:rsidR="00FC70A4" w:rsidRDefault="00FC70A4" w:rsidP="000A2399">
            <w:pPr>
              <w:contextualSpacing/>
              <w:rPr>
                <w:rFonts w:eastAsia="Calibri"/>
              </w:rPr>
            </w:pPr>
          </w:p>
        </w:tc>
        <w:tc>
          <w:tcPr>
            <w:tcW w:w="4690" w:type="dxa"/>
            <w:vAlign w:val="center"/>
          </w:tcPr>
          <w:p w:rsidR="00FC70A4" w:rsidRDefault="00FC70A4" w:rsidP="000A2399">
            <w:pPr>
              <w:contextualSpacing/>
              <w:rPr>
                <w:rFonts w:eastAsia="Calibri"/>
              </w:rPr>
            </w:pPr>
          </w:p>
        </w:tc>
        <w:tc>
          <w:tcPr>
            <w:tcW w:w="1415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03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FC70A4" w:rsidTr="000A2399">
        <w:trPr>
          <w:trHeight w:val="482"/>
          <w:jc w:val="center"/>
        </w:trPr>
        <w:tc>
          <w:tcPr>
            <w:tcW w:w="696" w:type="dxa"/>
            <w:vAlign w:val="center"/>
          </w:tcPr>
          <w:p w:rsidR="00FC70A4" w:rsidRDefault="00FC70A4" w:rsidP="000A2399">
            <w:pPr>
              <w:contextualSpacing/>
              <w:rPr>
                <w:rFonts w:eastAsia="Calibri"/>
              </w:rPr>
            </w:pPr>
          </w:p>
        </w:tc>
        <w:tc>
          <w:tcPr>
            <w:tcW w:w="4690" w:type="dxa"/>
            <w:vAlign w:val="center"/>
          </w:tcPr>
          <w:p w:rsidR="00FC70A4" w:rsidRDefault="00FC70A4" w:rsidP="000A2399">
            <w:pPr>
              <w:contextualSpacing/>
              <w:rPr>
                <w:rFonts w:eastAsia="Calibri"/>
              </w:rPr>
            </w:pPr>
          </w:p>
        </w:tc>
        <w:tc>
          <w:tcPr>
            <w:tcW w:w="1415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03" w:type="dxa"/>
            <w:vAlign w:val="center"/>
          </w:tcPr>
          <w:p w:rsidR="00FC70A4" w:rsidRDefault="00FC70A4" w:rsidP="000A2399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FC70A4" w:rsidRDefault="00FC70A4" w:rsidP="00FC70A4">
      <w:pPr>
        <w:contextualSpacing/>
        <w:jc w:val="both"/>
        <w:rPr>
          <w:rFonts w:eastAsia="Calibri"/>
        </w:rPr>
      </w:pPr>
    </w:p>
    <w:p w:rsidR="00FC70A4" w:rsidRPr="008A64B2" w:rsidRDefault="00FC70A4" w:rsidP="00FC70A4">
      <w:pPr>
        <w:contextualSpacing/>
        <w:jc w:val="both"/>
        <w:rPr>
          <w:rFonts w:eastAsia="Calibri"/>
        </w:rPr>
      </w:pPr>
    </w:p>
    <w:p w:rsidR="00FC70A4" w:rsidRPr="008A64B2" w:rsidRDefault="00FC70A4" w:rsidP="00FC70A4">
      <w:pPr>
        <w:spacing w:after="120"/>
        <w:jc w:val="both"/>
        <w:rPr>
          <w:rFonts w:eastAsia="Calibri"/>
        </w:rPr>
      </w:pPr>
      <w:r w:rsidRPr="008A64B2">
        <w:rPr>
          <w:rFonts w:eastAsia="Calibri"/>
          <w:i/>
          <w:iCs/>
        </w:rPr>
        <w:t>Napomena:</w:t>
      </w:r>
    </w:p>
    <w:p w:rsidR="00FC70A4" w:rsidRPr="008A64B2" w:rsidRDefault="00FC70A4" w:rsidP="00FC70A4">
      <w:pPr>
        <w:spacing w:after="120"/>
        <w:jc w:val="both"/>
        <w:rPr>
          <w:rFonts w:eastAsia="Calibri"/>
        </w:rPr>
      </w:pPr>
      <w:r w:rsidRPr="008A64B2">
        <w:rPr>
          <w:rFonts w:eastAsia="Calibri"/>
          <w:i/>
          <w:iCs/>
        </w:rPr>
        <w:t>Podaci iz ove tablice uzeti će se u obzir prilikom provjere ostvarenja kriterija odabira broj 3. iz Priloga I Pravilnika.</w:t>
      </w:r>
    </w:p>
    <w:p w:rsidR="00FC70A4" w:rsidRPr="008A64B2" w:rsidRDefault="00FC70A4" w:rsidP="00FC70A4">
      <w:pPr>
        <w:jc w:val="both"/>
        <w:rPr>
          <w:rFonts w:eastAsia="Calibri"/>
        </w:rPr>
      </w:pPr>
      <w:r w:rsidRPr="008A64B2">
        <w:rPr>
          <w:rFonts w:eastAsia="Calibri"/>
          <w:i/>
          <w:iCs/>
        </w:rPr>
        <w:t>Na zahtjev Agencije za plaćanja korisnik je dužan dostaviti i/ili dati na uvid dokaze i/ili obrazložiti stvaranje novih radnih mjesta koja su posljedica provedbe ulaganja.</w:t>
      </w: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spacing w:after="120"/>
        <w:jc w:val="both"/>
      </w:pPr>
      <w:r w:rsidRPr="008A64B2">
        <w:t>3.5. TRAJANJE PROVEDBE PROJEKTA/OPERACIJE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(navesti u mjesecima planirano trajanje provedbe ulaganja za koje se traži javna potpora iz Mjere 07 „Temeljne usluge i obnova sela u ruralnim područjima“)</w:t>
      </w:r>
    </w:p>
    <w:p w:rsidR="00FC70A4" w:rsidRPr="00167B65" w:rsidRDefault="00FC70A4" w:rsidP="00FC70A4">
      <w:pPr>
        <w:jc w:val="both"/>
        <w:rPr>
          <w:b/>
        </w:rPr>
      </w:pPr>
      <w:r w:rsidRPr="00167B65">
        <w:rPr>
          <w:b/>
        </w:rPr>
        <w:t>24 mjeseca</w:t>
      </w: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spacing w:after="120"/>
        <w:jc w:val="both"/>
      </w:pPr>
      <w:r w:rsidRPr="008A64B2">
        <w:t>3.6. GLAVNE AKTIVNOSTI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(navesti glavne aktivnosti koje će se provoditi u svrhu provedbe projekta/operacije; najmanje 300, a najviše 800 znakova)</w:t>
      </w:r>
    </w:p>
    <w:p w:rsidR="00FC70A4" w:rsidRPr="00167B65" w:rsidRDefault="00FC70A4" w:rsidP="00FC70A4">
      <w:pPr>
        <w:jc w:val="both"/>
        <w:rPr>
          <w:b/>
        </w:rPr>
      </w:pPr>
      <w:r w:rsidRPr="00167B65">
        <w:rPr>
          <w:b/>
        </w:rPr>
        <w:t>Glavne aktivnosti koje će se provoditi u svrhu provedbe projekta su: a) provedba postupka nabave (odabir izvođača radova i dobavljača opreme); b) izvođenje radova na izgradnji strelišta; c) nadzor nad izvođenjem radova; d) opremanje strelišta; e) provedba promotivnih aktivnosti</w:t>
      </w:r>
    </w:p>
    <w:p w:rsidR="00FC70A4" w:rsidRPr="008A64B2" w:rsidRDefault="00FC70A4" w:rsidP="00FC70A4">
      <w:pPr>
        <w:jc w:val="both"/>
      </w:pPr>
      <w:r w:rsidRPr="008A64B2">
        <w:t>3.7. PRIPREMNE PROVEDENE AKTIVNOSTI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 xml:space="preserve">(navesti ukratko pripremne aktivnosti koje su već provedene u svrhu realizacije projekta/operacije. Na primjer: riješeni su imovinsko-pravni odnosi, izrađen je idejni projekt/glavni projekt/elaborat zaštite okoliša, ishođena je lokacijska dozvola/građevinska </w:t>
      </w:r>
      <w:r w:rsidRPr="008A64B2">
        <w:rPr>
          <w:i/>
        </w:rPr>
        <w:lastRenderedPageBreak/>
        <w:t>dozvola/akt prema propisima kojima se uređuje zaštita okoliša i prirode/potvrde i suglasnosti javno-pravnih tijela, ostale pripremne aktivnosti. Napomena: nije potrebno navoditi detalje spomenutih akata/dokumenata - dovoljno je navesti općeniti naziv akta/dokumenta, na primjer: izrađeni su idejni i glavni projekt, ishođene su lokacijska dozvola, građevinska dozvola i potvrde javno-pravnih tijela koje su sastavni dio glavnog projekta)</w:t>
      </w:r>
    </w:p>
    <w:p w:rsidR="00FC70A4" w:rsidRPr="00167B65" w:rsidRDefault="00FC70A4" w:rsidP="00FC70A4">
      <w:pPr>
        <w:rPr>
          <w:b/>
        </w:rPr>
      </w:pPr>
      <w:r w:rsidRPr="00167B65">
        <w:rPr>
          <w:b/>
        </w:rPr>
        <w:t>Pripremne provedene aktivnosti su: a) riješeni imovinsko-pravni odnosi; b) izrađen glavni projekt i ishođena građevinska dozvola</w:t>
      </w:r>
    </w:p>
    <w:p w:rsidR="00FC70A4" w:rsidRPr="008A64B2" w:rsidRDefault="00FC70A4" w:rsidP="00FC70A4">
      <w:pPr>
        <w:jc w:val="both"/>
        <w:rPr>
          <w:color w:val="000000"/>
        </w:rPr>
      </w:pPr>
    </w:p>
    <w:p w:rsidR="00FC70A4" w:rsidRPr="008A64B2" w:rsidRDefault="00FC70A4" w:rsidP="00FC70A4">
      <w:pPr>
        <w:spacing w:after="120"/>
        <w:jc w:val="both"/>
        <w:rPr>
          <w:color w:val="000000"/>
        </w:rPr>
      </w:pPr>
      <w:r w:rsidRPr="008A64B2">
        <w:rPr>
          <w:color w:val="000000"/>
        </w:rPr>
        <w:t>3.8. UKUPNA VRIJEDNOST PROJEKTA</w:t>
      </w:r>
    </w:p>
    <w:p w:rsidR="00FC70A4" w:rsidRPr="008A64B2" w:rsidRDefault="00FC70A4" w:rsidP="00FC70A4">
      <w:pPr>
        <w:jc w:val="both"/>
        <w:rPr>
          <w:i/>
          <w:color w:val="000000"/>
        </w:rPr>
      </w:pPr>
      <w:r w:rsidRPr="008A64B2">
        <w:rPr>
          <w:i/>
          <w:color w:val="000000"/>
        </w:rPr>
        <w:t>(navesti ukupnu vrijednost projekta sukladno projektno-tehničkoj dokumentaciji/procjeni troškova, uključujući prihvatljive i neprihvatljive troškove, opće troškove i PDV, a u skladu s tablicom ''Procjena troškova projekta'' iz točke 5.2.)</w:t>
      </w:r>
    </w:p>
    <w:p w:rsidR="00FC70A4" w:rsidRPr="00E21D4D" w:rsidRDefault="00FC70A4" w:rsidP="00FC70A4">
      <w:pPr>
        <w:rPr>
          <w:b/>
        </w:rPr>
      </w:pPr>
      <w:r w:rsidRPr="00E21D4D">
        <w:rPr>
          <w:b/>
        </w:rPr>
        <w:t>3.713.506,69 HRK</w:t>
      </w:r>
    </w:p>
    <w:p w:rsidR="00FC70A4" w:rsidRPr="008A64B2" w:rsidRDefault="00FC70A4" w:rsidP="00FC70A4">
      <w:pPr>
        <w:spacing w:after="120"/>
        <w:jc w:val="both"/>
        <w:rPr>
          <w:color w:val="000000"/>
        </w:rPr>
      </w:pPr>
      <w:r w:rsidRPr="008A64B2">
        <w:rPr>
          <w:color w:val="000000"/>
        </w:rPr>
        <w:t>3.9. ZAPOČETE AKTIVNOSTI GRAĐENJA</w:t>
      </w:r>
    </w:p>
    <w:p w:rsidR="00FC70A4" w:rsidRPr="008A64B2" w:rsidRDefault="00FC70A4" w:rsidP="00FC70A4">
      <w:pPr>
        <w:jc w:val="both"/>
        <w:rPr>
          <w:i/>
          <w:color w:val="000000"/>
        </w:rPr>
      </w:pPr>
      <w:r w:rsidRPr="008A64B2">
        <w:rPr>
          <w:i/>
          <w:color w:val="000000"/>
        </w:rPr>
        <w:t>(navesti ukupnu vrijednost započetih aktivnosti građenja koja ne smije biti veća od 10% ukupne vrijednosti građenja vezanog uz projekt/operaciju do trenutka podnošenja Zahtjeva za potporu.</w:t>
      </w:r>
      <w:r>
        <w:rPr>
          <w:i/>
          <w:color w:val="000000"/>
        </w:rPr>
        <w:t xml:space="preserve"> </w:t>
      </w:r>
      <w:r w:rsidRPr="008A64B2">
        <w:rPr>
          <w:i/>
          <w:color w:val="000000"/>
        </w:rPr>
        <w:t>Sukladno članku 23. stavak 1 Pravilnika aktivnosti vezane uz ulaganje, osim pripremnih aktivnosti, ne smiju započeti prije podnošenja Zahtjeva za potporu. U slučaju započetih aktivnosti građenja, potrebno je vrijednost građenja razdvojiti na prihvatljiv trošak (neizvedeni radovi) i neprihvatljiv trošak (izvedeni radovi u maksimalnom iznosu do 10% vrijednosti građenja), te isto prikazati u tablici ''Procjena troškova projekta'' iz točke 5.2.U slučaju da aktivnosti građenja nisu započete do podnošenja Zahtjeva za potporu navesti: ''Aktivnosti građenja nisu započele'')</w:t>
      </w:r>
    </w:p>
    <w:p w:rsidR="00FC70A4" w:rsidRPr="00167B65" w:rsidRDefault="00FC70A4" w:rsidP="00FC70A4">
      <w:pPr>
        <w:rPr>
          <w:b/>
        </w:rPr>
      </w:pPr>
      <w:r w:rsidRPr="00167B65">
        <w:rPr>
          <w:b/>
        </w:rPr>
        <w:t>Aktivnosti građenja nisu započete.</w:t>
      </w:r>
    </w:p>
    <w:p w:rsidR="00FC70A4" w:rsidRPr="008A64B2" w:rsidRDefault="00FC70A4" w:rsidP="00FC70A4">
      <w:pPr>
        <w:jc w:val="both"/>
        <w:rPr>
          <w:color w:val="000000"/>
        </w:rPr>
      </w:pPr>
    </w:p>
    <w:p w:rsidR="00FC70A4" w:rsidRPr="008A64B2" w:rsidRDefault="00FC70A4" w:rsidP="00FC70A4">
      <w:pPr>
        <w:jc w:val="both"/>
        <w:rPr>
          <w:b/>
          <w:color w:val="000000"/>
        </w:rPr>
      </w:pPr>
      <w:r w:rsidRPr="008A64B2">
        <w:rPr>
          <w:b/>
          <w:color w:val="000000"/>
        </w:rPr>
        <w:t>4. DRUŠTVENA OPRAVDANOST PROJEKTA/OPERACIJE</w:t>
      </w:r>
    </w:p>
    <w:p w:rsidR="00FC70A4" w:rsidRPr="008A64B2" w:rsidRDefault="00FC70A4" w:rsidP="00FC70A4">
      <w:pPr>
        <w:spacing w:after="120"/>
        <w:jc w:val="both"/>
      </w:pPr>
      <w:r w:rsidRPr="008A64B2">
        <w:t>4.1. CILJANE SKUPINE I KRAJNJI KORISNICI</w:t>
      </w:r>
    </w:p>
    <w:p w:rsidR="00FC70A4" w:rsidRPr="008A64B2" w:rsidRDefault="00FC70A4" w:rsidP="00FC70A4">
      <w:pPr>
        <w:jc w:val="both"/>
        <w:rPr>
          <w:i/>
          <w:color w:val="000000"/>
        </w:rPr>
      </w:pPr>
      <w:r w:rsidRPr="008A64B2">
        <w:rPr>
          <w:i/>
        </w:rPr>
        <w:t xml:space="preserve">(navesti ciljane skupine i krajnje korisnike/interesne skupine projekta/operacije </w:t>
      </w:r>
      <w:proofErr w:type="spellStart"/>
      <w:r w:rsidRPr="008A64B2">
        <w:rPr>
          <w:i/>
        </w:rPr>
        <w:t>tepriložiti</w:t>
      </w:r>
      <w:proofErr w:type="spellEnd"/>
      <w:r w:rsidRPr="008A64B2">
        <w:rPr>
          <w:i/>
        </w:rPr>
        <w:t xml:space="preserve"> i izjavu korisnika o dostupnosti ulaganja lokalnom stanovništvu i različitim interesnim skupinama - Prilog II </w:t>
      </w:r>
      <w:proofErr w:type="spellStart"/>
      <w:r w:rsidRPr="008A64B2">
        <w:rPr>
          <w:i/>
        </w:rPr>
        <w:t>Odlukepredstavničkog</w:t>
      </w:r>
      <w:proofErr w:type="spellEnd"/>
      <w:r w:rsidRPr="008A64B2">
        <w:rPr>
          <w:i/>
        </w:rPr>
        <w:t xml:space="preserve"> tijela jedinice lokalne samouprave o suglasnosti za provedbu ulaganja)</w:t>
      </w:r>
    </w:p>
    <w:p w:rsidR="00FC70A4" w:rsidRDefault="00FC70A4" w:rsidP="00FC70A4">
      <w:pPr>
        <w:spacing w:after="120"/>
        <w:jc w:val="both"/>
        <w:rPr>
          <w:b/>
        </w:rPr>
      </w:pPr>
      <w:r w:rsidRPr="00C32D10">
        <w:rPr>
          <w:b/>
        </w:rPr>
        <w:t xml:space="preserve">Ciljane skupine su članovi lovačkih udruga </w:t>
      </w:r>
      <w:r>
        <w:rPr>
          <w:b/>
        </w:rPr>
        <w:t>i streljačkih klubova</w:t>
      </w:r>
      <w:r w:rsidRPr="00C32D10">
        <w:rPr>
          <w:b/>
        </w:rPr>
        <w:t>.</w:t>
      </w:r>
    </w:p>
    <w:p w:rsidR="00FC70A4" w:rsidRPr="00C32D10" w:rsidRDefault="00FC70A4" w:rsidP="00FC70A4">
      <w:pPr>
        <w:spacing w:after="120"/>
        <w:jc w:val="both"/>
        <w:rPr>
          <w:b/>
          <w:color w:val="000000"/>
        </w:rPr>
      </w:pPr>
      <w:r>
        <w:rPr>
          <w:b/>
        </w:rPr>
        <w:t>Krajnji korisnici su svi stanovnici općine zainteresirani za bavljenje streljaštvom i lovstvom koji udovoljavaju propisanim kriterijima (punoljetnost, zdravstveno stanje i sl.)</w:t>
      </w:r>
    </w:p>
    <w:p w:rsidR="00FC70A4" w:rsidRPr="008A64B2" w:rsidRDefault="00FC70A4" w:rsidP="00FC70A4">
      <w:pPr>
        <w:spacing w:after="120"/>
        <w:jc w:val="both"/>
        <w:rPr>
          <w:color w:val="000000"/>
        </w:rPr>
      </w:pPr>
    </w:p>
    <w:p w:rsidR="00FC70A4" w:rsidRPr="008A64B2" w:rsidRDefault="00FC70A4" w:rsidP="00FC70A4">
      <w:pPr>
        <w:spacing w:after="120"/>
        <w:jc w:val="both"/>
        <w:rPr>
          <w:color w:val="000000"/>
        </w:rPr>
      </w:pPr>
      <w:r w:rsidRPr="008A64B2">
        <w:rPr>
          <w:color w:val="000000"/>
        </w:rPr>
        <w:t>4.2. DRUŠTVENA OPRAVDANOST PROJEKTA SUKLADNO CILJEVIMA PROJEKTA/OPERACIJE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  <w:color w:val="000000"/>
        </w:rPr>
        <w:t>(navesti na koji način će ciljevi projekta/operacije i očekivani rezultati projekta/operacije doprinijeti području u kojem se planira provedba projekta/operacije odnosno koji su pozitivni efekti za ciljane skupine i krajnje korisnike;</w:t>
      </w:r>
      <w:r w:rsidRPr="008A64B2">
        <w:rPr>
          <w:i/>
        </w:rPr>
        <w:t xml:space="preserve"> najmanje 300, a najviše 800 znakova)</w:t>
      </w:r>
    </w:p>
    <w:p w:rsidR="00FC70A4" w:rsidRPr="005F512C" w:rsidRDefault="00FC70A4" w:rsidP="00FC70A4">
      <w:pPr>
        <w:jc w:val="both"/>
        <w:rPr>
          <w:b/>
        </w:rPr>
      </w:pPr>
      <w:r w:rsidRPr="005F512C">
        <w:rPr>
          <w:b/>
        </w:rPr>
        <w:t xml:space="preserve">Izgradnjom modernog strelišta ostvarit će se višestruki pozitivni efekti za ciljane skupine i krajnje korisnike: </w:t>
      </w:r>
      <w:r>
        <w:rPr>
          <w:b/>
        </w:rPr>
        <w:t>a</w:t>
      </w:r>
      <w:r w:rsidRPr="005F512C">
        <w:rPr>
          <w:b/>
        </w:rPr>
        <w:t>) razvoj streljaštva kao sporta i uključivanje mladih u bavljenje tim sportom</w:t>
      </w:r>
      <w:r>
        <w:rPr>
          <w:b/>
        </w:rPr>
        <w:t>;</w:t>
      </w:r>
      <w:r w:rsidRPr="005F512C">
        <w:rPr>
          <w:b/>
        </w:rPr>
        <w:t xml:space="preserve"> </w:t>
      </w:r>
      <w:r>
        <w:rPr>
          <w:b/>
        </w:rPr>
        <w:t>b</w:t>
      </w:r>
      <w:r w:rsidRPr="005F512C">
        <w:rPr>
          <w:b/>
        </w:rPr>
        <w:t>) stvaranje p</w:t>
      </w:r>
      <w:r>
        <w:rPr>
          <w:b/>
        </w:rPr>
        <w:t>retpostavki za razvoj lovstva; c</w:t>
      </w:r>
      <w:r w:rsidRPr="005F512C">
        <w:rPr>
          <w:b/>
        </w:rPr>
        <w:t xml:space="preserve">) omogućavanje većem broju </w:t>
      </w:r>
      <w:r>
        <w:rPr>
          <w:b/>
        </w:rPr>
        <w:t>stanovnika bavljenje lovstvom; d</w:t>
      </w:r>
      <w:r w:rsidRPr="005F512C">
        <w:rPr>
          <w:b/>
        </w:rPr>
        <w:t>) stvaranje pretpostavki za razvoj lovnog turizma</w:t>
      </w:r>
      <w:r>
        <w:rPr>
          <w:b/>
        </w:rPr>
        <w:t xml:space="preserve"> i sportskih natjecanja</w:t>
      </w:r>
    </w:p>
    <w:p w:rsidR="00FC70A4" w:rsidRDefault="00FC70A4" w:rsidP="00FC70A4">
      <w:pPr>
        <w:jc w:val="both"/>
      </w:pPr>
    </w:p>
    <w:p w:rsidR="00FC70A4" w:rsidRDefault="00FC70A4" w:rsidP="00FC70A4">
      <w:pPr>
        <w:jc w:val="both"/>
      </w:pP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jc w:val="both"/>
        <w:rPr>
          <w:b/>
          <w:color w:val="000000"/>
        </w:rPr>
      </w:pPr>
      <w:r w:rsidRPr="008A64B2">
        <w:rPr>
          <w:b/>
          <w:color w:val="000000"/>
        </w:rPr>
        <w:t>5. POVEZANOST DJELATNOSTI UDRUGE/VJERSKE ZAJEDNICE S PROJEKTOM/OPERACIJOM I DOKAZ DA JE HUMANITARNA/DRUŠTVENA DJELATNOST UDRUGE/VJERSKE ZAJEDNICE OD POSEBNOG INTERESA ZA LOKALNO STANOVNIŠTVO</w:t>
      </w:r>
    </w:p>
    <w:p w:rsidR="00FC70A4" w:rsidRPr="008A64B2" w:rsidRDefault="00FC70A4" w:rsidP="00FC70A4">
      <w:pPr>
        <w:spacing w:after="120"/>
        <w:jc w:val="both"/>
      </w:pPr>
      <w:r w:rsidRPr="008A64B2">
        <w:t>5.1. POVEZANOST DJELATNOSTI UDRUGE/VJERSKE ZAJEDNICE S PROJEKTOM/OPERACIJOM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(obrazložiti na koji je način projekt/operacija povezana s podacima iz Registra udruga odnosno statuta udruge ili vjerske zajednice vezano za ciljane skupine, ciljeve, djelatnosti kojima se ostvaruje cilj, te s područjima djelovanja i aktivnostima udruge/vjerske zajednice; navedeno se odnosi isključivo na slučaj kada je korisnik udruga ili vjerska zajednica koja se bavi humanitarnim i društvenim djelatnostima)</w:t>
      </w:r>
    </w:p>
    <w:p w:rsidR="00FC70A4" w:rsidRPr="00E74457" w:rsidRDefault="00FC70A4" w:rsidP="00FC70A4">
      <w:pPr>
        <w:spacing w:after="120"/>
        <w:jc w:val="both"/>
        <w:rPr>
          <w:b/>
        </w:rPr>
      </w:pPr>
      <w:r w:rsidRPr="00E74457">
        <w:rPr>
          <w:b/>
        </w:rPr>
        <w:t>Projekt/operacija je izravno povezana s podacima iz Registra udruga vezano za ciljane skupine, djelatnosti kojima se ostvaruje cilj te područjima djelovanja i aktivnostima udruge budući su registrirane djelatnosti udruge i njena glavna područja djelovanja upravo „.</w:t>
      </w:r>
      <w:r>
        <w:rPr>
          <w:b/>
        </w:rPr>
        <w:t>.</w:t>
      </w:r>
      <w:r w:rsidRPr="00E74457">
        <w:rPr>
          <w:b/>
        </w:rPr>
        <w:t xml:space="preserve">.provedba lovno gospodarske osnove; organiziranje, razvijanje i unapređenje lovne kinologije i lovnog streljaštva; promidžba i organiziranje kulturnih i drugih aktivnosti vezanih uz lovstvo….“. Provedba ove operacije predstavlja preduvjet za razvoj lovnog i sportskog streljaštva. </w:t>
      </w:r>
    </w:p>
    <w:p w:rsidR="00FC70A4" w:rsidRPr="008A64B2" w:rsidRDefault="00FC70A4" w:rsidP="00FC70A4">
      <w:pPr>
        <w:spacing w:after="120"/>
        <w:jc w:val="both"/>
      </w:pPr>
    </w:p>
    <w:p w:rsidR="00FC70A4" w:rsidRPr="008A64B2" w:rsidRDefault="00FC70A4" w:rsidP="00FC70A4">
      <w:pPr>
        <w:spacing w:after="120"/>
        <w:jc w:val="both"/>
      </w:pPr>
      <w:r w:rsidRPr="008A64B2">
        <w:t>5.2. DOKAZ DA SU HUMANITARNE I DRUŠTVENE DJELATNOSTI UDRUGE/VJERSKE ZAJEDNICE OD POSEBNOG INTERESA ZA LOKALNO STANOVNIŠTVO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 xml:space="preserve">(obrazložiti po kojoj su osnovi humanitarne i društvene djelatnosti udruge/vjerske zajednice od posebnog interesa za lokalno </w:t>
      </w:r>
      <w:proofErr w:type="spellStart"/>
      <w:r w:rsidRPr="008A64B2">
        <w:rPr>
          <w:i/>
        </w:rPr>
        <w:t>stanovništvo;navedeno</w:t>
      </w:r>
      <w:proofErr w:type="spellEnd"/>
      <w:r w:rsidRPr="008A64B2">
        <w:rPr>
          <w:i/>
        </w:rPr>
        <w:t xml:space="preserve"> se odnosi isključivo na slučaj kada je korisnik udruga ili vjerska zajednica koje se bave humanitarnim i društvenim djelatnostima)</w:t>
      </w:r>
    </w:p>
    <w:p w:rsidR="00FC70A4" w:rsidRPr="00E74457" w:rsidRDefault="00FC70A4" w:rsidP="00FC70A4">
      <w:pPr>
        <w:jc w:val="both"/>
        <w:rPr>
          <w:b/>
        </w:rPr>
      </w:pPr>
      <w:r w:rsidRPr="00E74457">
        <w:rPr>
          <w:b/>
        </w:rPr>
        <w:t>Bavljenje sportom</w:t>
      </w:r>
      <w:r>
        <w:rPr>
          <w:b/>
        </w:rPr>
        <w:t xml:space="preserve"> je zasigurno djelatnost od posebnog interesa za stanovništvo, posebice u smislu zaštite zdravlja. Aktivnije uključivanje stanovništva u bavljenje sportom u doba sjedilačkog načina života ima izuzetno pozitivne učinke kako na zdravlje pojedinca tako i preventivno djelovanje na mlade u borbi protiv raznih oblika ovisnosti (droga, alkohol, pušenje). Isto tako, osim izravnih pozitivnih zdravstvenih učinaka na stanovništvo, lovno streljaštvo ima i funkciju zaštite zdravlja, sigurnosti i imovine stanovništva u slučajevima pojave bjesnoće kod divljači (npr. lisice) koja može biti izuzetno opasna za stanovništvo ako se ne riješi na odgovarajući način.</w:t>
      </w:r>
    </w:p>
    <w:p w:rsidR="00FC70A4" w:rsidRDefault="00FC70A4" w:rsidP="00FC70A4">
      <w:pPr>
        <w:jc w:val="both"/>
        <w:rPr>
          <w:b/>
        </w:rPr>
      </w:pPr>
    </w:p>
    <w:p w:rsidR="00FC70A4" w:rsidRDefault="00FC70A4" w:rsidP="00FC70A4">
      <w:pPr>
        <w:jc w:val="both"/>
        <w:rPr>
          <w:b/>
        </w:rPr>
      </w:pPr>
    </w:p>
    <w:p w:rsidR="00FC70A4" w:rsidRDefault="00FC70A4" w:rsidP="00FC70A4">
      <w:pPr>
        <w:jc w:val="both"/>
        <w:rPr>
          <w:b/>
        </w:rPr>
      </w:pPr>
    </w:p>
    <w:p w:rsidR="00FC70A4" w:rsidRDefault="00FC70A4" w:rsidP="00FC70A4">
      <w:pPr>
        <w:jc w:val="both"/>
        <w:rPr>
          <w:b/>
        </w:rPr>
      </w:pPr>
    </w:p>
    <w:p w:rsidR="00FC70A4" w:rsidRDefault="00FC70A4" w:rsidP="00FC70A4">
      <w:pPr>
        <w:jc w:val="both"/>
        <w:rPr>
          <w:b/>
        </w:rPr>
      </w:pPr>
    </w:p>
    <w:p w:rsidR="00FC70A4" w:rsidRDefault="00FC70A4" w:rsidP="00FC70A4">
      <w:pPr>
        <w:jc w:val="both"/>
        <w:rPr>
          <w:b/>
        </w:rPr>
      </w:pPr>
    </w:p>
    <w:p w:rsidR="00FC70A4" w:rsidRPr="008A64B2" w:rsidRDefault="00FC70A4" w:rsidP="00FC70A4">
      <w:pPr>
        <w:jc w:val="both"/>
      </w:pPr>
      <w:r w:rsidRPr="008A64B2">
        <w:rPr>
          <w:b/>
        </w:rPr>
        <w:t>6. FINANCIJSKI KAPACITET KORISNIKA I PROCJENA TROŠKOVA PROJEKTA</w:t>
      </w:r>
    </w:p>
    <w:p w:rsidR="00FC70A4" w:rsidRPr="008A64B2" w:rsidRDefault="00FC70A4" w:rsidP="00FC70A4"/>
    <w:p w:rsidR="00FC70A4" w:rsidRPr="008A64B2" w:rsidRDefault="00FC70A4" w:rsidP="00FC70A4">
      <w:pPr>
        <w:spacing w:after="120"/>
        <w:jc w:val="both"/>
      </w:pPr>
      <w:r w:rsidRPr="008A64B2">
        <w:t>6.1. PLANIRANI IZVORI SREDSTAVA ZA PROVEDBU PROJEKTA/OPERACIJE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 xml:space="preserve">(prikazati dinamiku financiranja projekta po godinama planirane provedbe do potpune realizacije i funkcionalnosti projekta te navesti sve planirane izvore sredstava potrebne za </w:t>
      </w:r>
      <w:r w:rsidRPr="008A64B2">
        <w:rPr>
          <w:i/>
        </w:rPr>
        <w:lastRenderedPageBreak/>
        <w:t>provedbu projekta/operacije u skladu s nazivima i iznosima troškova iz Procjene troškova projekta iz točke 6.2.)</w:t>
      </w:r>
    </w:p>
    <w:tbl>
      <w:tblPr>
        <w:tblW w:w="8455" w:type="dxa"/>
        <w:tblInd w:w="95" w:type="dxa"/>
        <w:tblLook w:val="04A0" w:firstRow="1" w:lastRow="0" w:firstColumn="1" w:lastColumn="0" w:noHBand="0" w:noVBand="1"/>
      </w:tblPr>
      <w:tblGrid>
        <w:gridCol w:w="1109"/>
        <w:gridCol w:w="3400"/>
        <w:gridCol w:w="1780"/>
        <w:gridCol w:w="2240"/>
      </w:tblGrid>
      <w:tr w:rsidR="00FC70A4" w:rsidRPr="001567BB" w:rsidTr="000A2399">
        <w:trPr>
          <w:trHeight w:val="30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Godina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Vrsta radova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Iznos u HRK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Izvor sredstava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2017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Priprema natječajne dokumentacije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  <w:r w:rsidRPr="001567BB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Izrada projektne dokumentacije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2018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Zemljani radovi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775.511,21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Betonski radovi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1.064.670,49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Limarski radovi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77.915,89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Čelična konstrukcija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228.192,50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Zidarski radovi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3.382,50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Tesarski radovi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9.380,25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Ličilački</w:t>
            </w:r>
            <w:proofErr w:type="spellEnd"/>
            <w:r>
              <w:rPr>
                <w:sz w:val="20"/>
                <w:szCs w:val="20"/>
              </w:rPr>
              <w:t xml:space="preserve"> radovi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Bravarski radovi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Prometne površine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317.075,10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 EPFRR</w:t>
            </w:r>
          </w:p>
        </w:tc>
      </w:tr>
      <w:tr w:rsidR="00FC70A4" w:rsidRPr="001567BB" w:rsidTr="000A2399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Vodovod i kanalizacija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106.250,00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Elektroinstalacije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156.250,00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Nadzor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radovi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165.350,75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Oprema strelišta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590.625,00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EPFRR</w:t>
            </w:r>
          </w:p>
        </w:tc>
      </w:tr>
      <w:tr w:rsidR="00FC70A4" w:rsidRPr="001567BB" w:rsidTr="000A2399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Nadzor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Vlastita sredstva</w:t>
            </w:r>
          </w:p>
        </w:tc>
      </w:tr>
      <w:tr w:rsidR="00FC70A4" w:rsidRPr="001567BB" w:rsidTr="000A2399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b/>
                <w:bCs/>
                <w:color w:val="000000"/>
              </w:rPr>
            </w:pPr>
            <w:r w:rsidRPr="001567BB">
              <w:rPr>
                <w:rFonts w:ascii="Calibri" w:hAnsi="Calibri"/>
                <w:b/>
                <w:bCs/>
                <w:color w:val="000000"/>
              </w:rPr>
              <w:t>UKUPNO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3.713.506,69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0A4" w:rsidRPr="001567BB" w:rsidRDefault="00FC70A4" w:rsidP="000A2399">
            <w:pPr>
              <w:rPr>
                <w:rFonts w:ascii="Calibri" w:hAnsi="Calibri"/>
                <w:color w:val="000000"/>
              </w:rPr>
            </w:pPr>
            <w:r w:rsidRPr="001567BB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EPFRR/Vlastita sredstva</w:t>
            </w:r>
          </w:p>
        </w:tc>
      </w:tr>
    </w:tbl>
    <w:p w:rsidR="00FC70A4" w:rsidRDefault="00FC70A4" w:rsidP="00FC70A4">
      <w:pPr>
        <w:spacing w:after="120"/>
        <w:jc w:val="both"/>
      </w:pPr>
    </w:p>
    <w:p w:rsidR="00FC70A4" w:rsidRDefault="00FC70A4" w:rsidP="00FC70A4">
      <w:pPr>
        <w:spacing w:after="120"/>
        <w:jc w:val="both"/>
      </w:pPr>
    </w:p>
    <w:p w:rsidR="00FC70A4" w:rsidRDefault="00FC70A4" w:rsidP="00FC70A4">
      <w:pPr>
        <w:spacing w:after="120"/>
        <w:jc w:val="both"/>
      </w:pPr>
    </w:p>
    <w:p w:rsidR="00FC70A4" w:rsidRDefault="00FC70A4" w:rsidP="00FC70A4">
      <w:pPr>
        <w:spacing w:after="120"/>
        <w:jc w:val="both"/>
      </w:pPr>
    </w:p>
    <w:p w:rsidR="00FC70A4" w:rsidRDefault="00FC70A4" w:rsidP="00FC70A4">
      <w:pPr>
        <w:spacing w:after="120"/>
        <w:jc w:val="both"/>
      </w:pPr>
    </w:p>
    <w:p w:rsidR="00FC70A4" w:rsidRDefault="00FC70A4" w:rsidP="00FC70A4">
      <w:pPr>
        <w:spacing w:after="120"/>
        <w:jc w:val="both"/>
      </w:pPr>
    </w:p>
    <w:p w:rsidR="00FC70A4" w:rsidRDefault="00FC70A4" w:rsidP="00FC70A4">
      <w:pPr>
        <w:spacing w:after="120"/>
        <w:jc w:val="both"/>
      </w:pPr>
    </w:p>
    <w:p w:rsidR="00FC70A4" w:rsidRDefault="00FC70A4" w:rsidP="00FC70A4">
      <w:pPr>
        <w:spacing w:after="120"/>
        <w:jc w:val="both"/>
      </w:pPr>
    </w:p>
    <w:p w:rsidR="00FC70A4" w:rsidRDefault="00FC70A4" w:rsidP="00FC70A4">
      <w:pPr>
        <w:spacing w:after="120"/>
        <w:jc w:val="both"/>
      </w:pPr>
    </w:p>
    <w:p w:rsidR="00FC70A4" w:rsidRDefault="00FC70A4" w:rsidP="00FC70A4">
      <w:pPr>
        <w:spacing w:after="120"/>
        <w:jc w:val="both"/>
      </w:pPr>
    </w:p>
    <w:p w:rsidR="00FC70A4" w:rsidRDefault="00FC70A4" w:rsidP="00FC70A4">
      <w:pPr>
        <w:spacing w:after="120"/>
        <w:jc w:val="both"/>
      </w:pPr>
    </w:p>
    <w:p w:rsidR="00FC70A4" w:rsidRPr="008A64B2" w:rsidRDefault="00FC70A4" w:rsidP="00FC70A4">
      <w:pPr>
        <w:spacing w:after="120"/>
        <w:jc w:val="both"/>
      </w:pPr>
      <w:r w:rsidRPr="008A64B2">
        <w:t>6.2. PROCJENA TROŠKOVA PROJEKTA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(popuniti tablicu ''PROCJENA TROŠKOVA PROJEKTA'')</w:t>
      </w:r>
    </w:p>
    <w:p w:rsidR="00FC70A4" w:rsidRPr="008A64B2" w:rsidRDefault="00FC70A4" w:rsidP="00FC70A4">
      <w:pPr>
        <w:jc w:val="center"/>
      </w:pPr>
      <w:r>
        <w:t>Tablica 2: Procjena troškova projekta</w:t>
      </w: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444"/>
        <w:gridCol w:w="1723"/>
        <w:gridCol w:w="2192"/>
        <w:gridCol w:w="1846"/>
      </w:tblGrid>
      <w:tr w:rsidR="00FC70A4" w:rsidRPr="008A64B2" w:rsidTr="000A2399">
        <w:trPr>
          <w:trHeight w:val="618"/>
          <w:jc w:val="center"/>
        </w:trPr>
        <w:tc>
          <w:tcPr>
            <w:tcW w:w="686" w:type="dxa"/>
            <w:vMerge w:val="restart"/>
            <w:shd w:val="clear" w:color="auto" w:fill="EDEDED" w:themeFill="accent3" w:themeFillTint="33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4" w:type="dxa"/>
            <w:vMerge w:val="restart"/>
            <w:shd w:val="clear" w:color="auto" w:fill="EDEDED" w:themeFill="accent3" w:themeFillTint="33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PLANIRANI TROŠKOVI PROJEKTA</w:t>
            </w:r>
          </w:p>
          <w:p w:rsidR="00FC70A4" w:rsidRPr="008A64B2" w:rsidRDefault="00FC70A4" w:rsidP="000A2399">
            <w:pPr>
              <w:jc w:val="center"/>
              <w:rPr>
                <w:bCs/>
                <w:sz w:val="20"/>
                <w:szCs w:val="20"/>
              </w:rPr>
            </w:pPr>
            <w:r w:rsidRPr="008A64B2">
              <w:rPr>
                <w:bCs/>
                <w:sz w:val="20"/>
                <w:szCs w:val="20"/>
              </w:rPr>
              <w:t>(Kratki opis/naziv troška)</w:t>
            </w:r>
          </w:p>
        </w:tc>
        <w:tc>
          <w:tcPr>
            <w:tcW w:w="1723" w:type="dxa"/>
            <w:vMerge w:val="restart"/>
            <w:shd w:val="clear" w:color="auto" w:fill="EDEDED" w:themeFill="accent3" w:themeFillTint="33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PROCIJENJENI IZNOS BEZ PDV-a</w:t>
            </w:r>
          </w:p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2192" w:type="dxa"/>
            <w:shd w:val="clear" w:color="auto" w:fill="EDEDED" w:themeFill="accent3" w:themeFillTint="33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IZNOS PDV-a</w:t>
            </w:r>
          </w:p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846" w:type="dxa"/>
            <w:shd w:val="clear" w:color="auto" w:fill="EDEDED" w:themeFill="accent3" w:themeFillTint="33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UKUPNI PROCIJENJENI IZNOS S PDV-om</w:t>
            </w:r>
          </w:p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kn</w:t>
            </w:r>
          </w:p>
        </w:tc>
      </w:tr>
      <w:tr w:rsidR="00FC70A4" w:rsidRPr="008A64B2" w:rsidTr="000A2399">
        <w:trPr>
          <w:trHeight w:val="539"/>
          <w:jc w:val="center"/>
        </w:trPr>
        <w:tc>
          <w:tcPr>
            <w:tcW w:w="686" w:type="dxa"/>
            <w:vMerge/>
            <w:shd w:val="clear" w:color="auto" w:fill="EDEDED" w:themeFill="accent3" w:themeFillTint="33"/>
            <w:vAlign w:val="center"/>
            <w:hideMark/>
          </w:tcPr>
          <w:p w:rsidR="00FC70A4" w:rsidRPr="008A64B2" w:rsidRDefault="00FC70A4" w:rsidP="000A23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4" w:type="dxa"/>
            <w:vMerge/>
            <w:shd w:val="clear" w:color="auto" w:fill="EDEDED" w:themeFill="accent3" w:themeFillTint="33"/>
            <w:vAlign w:val="center"/>
            <w:hideMark/>
          </w:tcPr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shd w:val="clear" w:color="auto" w:fill="EDEDED" w:themeFill="accent3" w:themeFillTint="33"/>
            <w:vAlign w:val="center"/>
            <w:hideMark/>
          </w:tcPr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EDEDED" w:themeFill="accent3" w:themeFillTint="33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Cs/>
                <w:sz w:val="20"/>
                <w:szCs w:val="20"/>
              </w:rPr>
            </w:pPr>
            <w:r w:rsidRPr="008A64B2">
              <w:rPr>
                <w:bCs/>
                <w:sz w:val="20"/>
                <w:szCs w:val="20"/>
              </w:rPr>
              <w:t xml:space="preserve">(Upisuje korisnik kojemu je PDV prihvatljiv za prijavljeni trošak, to jest korisnik </w:t>
            </w:r>
            <w:r w:rsidRPr="008A64B2">
              <w:rPr>
                <w:b/>
                <w:bCs/>
                <w:sz w:val="20"/>
                <w:szCs w:val="20"/>
              </w:rPr>
              <w:t>koji nema pravo na odbitak PDV-a</w:t>
            </w:r>
            <w:r w:rsidRPr="008A64B2">
              <w:rPr>
                <w:bCs/>
                <w:sz w:val="20"/>
                <w:szCs w:val="20"/>
              </w:rPr>
              <w:t>. Ako korisniku PDV nije prihvatljiv, upisati 0,00)</w:t>
            </w:r>
          </w:p>
        </w:tc>
        <w:tc>
          <w:tcPr>
            <w:tcW w:w="1846" w:type="dxa"/>
            <w:shd w:val="clear" w:color="auto" w:fill="EDEDED" w:themeFill="accent3" w:themeFillTint="33"/>
            <w:vAlign w:val="center"/>
          </w:tcPr>
          <w:p w:rsidR="00FC70A4" w:rsidRPr="008A64B2" w:rsidRDefault="00FC70A4" w:rsidP="000A2399">
            <w:pPr>
              <w:jc w:val="center"/>
              <w:rPr>
                <w:bCs/>
                <w:sz w:val="20"/>
                <w:szCs w:val="20"/>
              </w:rPr>
            </w:pPr>
            <w:r w:rsidRPr="008A64B2">
              <w:rPr>
                <w:bCs/>
                <w:sz w:val="20"/>
                <w:szCs w:val="20"/>
              </w:rPr>
              <w:t>(Iznos iz ovog stupca je zbroj iznosa iz stupca 3 i iznosa PDV-a iz stupca 4. Ukoliko korisniku PDV nije prihvatljiv, u stupac 5. prepišite iznos iz stupca 3.)</w:t>
            </w:r>
          </w:p>
        </w:tc>
      </w:tr>
      <w:tr w:rsidR="00FC70A4" w:rsidRPr="008A64B2" w:rsidTr="000A2399">
        <w:trPr>
          <w:trHeight w:val="264"/>
          <w:jc w:val="center"/>
        </w:trPr>
        <w:tc>
          <w:tcPr>
            <w:tcW w:w="686" w:type="dxa"/>
            <w:shd w:val="clear" w:color="auto" w:fill="auto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C70A4" w:rsidRPr="008A64B2" w:rsidTr="000A2399">
        <w:trPr>
          <w:trHeight w:val="439"/>
          <w:jc w:val="center"/>
        </w:trPr>
        <w:tc>
          <w:tcPr>
            <w:tcW w:w="10891" w:type="dxa"/>
            <w:gridSpan w:val="5"/>
            <w:shd w:val="clear" w:color="auto" w:fill="D9E2F3" w:themeFill="accent5" w:themeFillTint="33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4B2">
              <w:rPr>
                <w:b/>
                <w:bCs/>
                <w:color w:val="000000"/>
                <w:sz w:val="20"/>
                <w:szCs w:val="20"/>
              </w:rPr>
              <w:t>I. PRIHVATLJIVI TROŠKOVI</w:t>
            </w:r>
          </w:p>
        </w:tc>
      </w:tr>
      <w:tr w:rsidR="00FC70A4" w:rsidRPr="008A64B2" w:rsidTr="000A2399">
        <w:trPr>
          <w:trHeight w:val="795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4B2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Građenje</w:t>
            </w: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zbrojiti iznose iz redova A.1. + A.2. + 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2.908.881</w:t>
            </w:r>
            <w:r w:rsidRPr="008A64B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A.1.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Zemljani radovi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620.408,97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155.102,24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775.511,21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A.2.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Betonski radovi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851.736,39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212.934,10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1.064.670,49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A.3.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Limarski radovi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62.332,71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15.583,18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77.915,89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A.4.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Čelična konstrukcija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182.554,00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45.638,50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228.192,50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A.5.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Zidarski radovi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2.706,00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676,50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3.382,50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A.6.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Tesarski radovi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7.504,20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1.876,05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9.380,25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A.7.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Ličilački</w:t>
            </w:r>
            <w:proofErr w:type="spellEnd"/>
            <w:r>
              <w:rPr>
                <w:sz w:val="20"/>
                <w:szCs w:val="20"/>
              </w:rPr>
              <w:t xml:space="preserve"> radovi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422,40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105,60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A.8.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Bravarski radovi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875,00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A.9.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Prometne površine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253.660,08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63.415,02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317.075,10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A.10.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Vodovod i kanalizacija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21.250,00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106.250,00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A.11.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Elektroinstalacije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31.250,00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156.250,00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A.12.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radovi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132.280,60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33.070,15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165.350,75</w:t>
            </w:r>
          </w:p>
        </w:tc>
      </w:tr>
      <w:tr w:rsidR="00FC70A4" w:rsidRPr="008A64B2" w:rsidTr="000A2399">
        <w:trPr>
          <w:trHeight w:val="832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4B2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Opremanje</w:t>
            </w: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zbrojiti iznose iz redova B.1. + B.2. + 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590.625</w:t>
            </w:r>
            <w:r w:rsidRPr="008A64B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B.1.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strelišta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472.500,00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118.125,00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590.625,00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B.2.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B.3.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</w:tr>
      <w:tr w:rsidR="00FC70A4" w:rsidRPr="008A64B2" w:rsidTr="000A2399">
        <w:trPr>
          <w:trHeight w:val="826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4B2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Prihvatljivi nematerijalni troškovi</w:t>
            </w: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zbrojiti iznose iz redova C.1. + C.2. + 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C.1.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C.2.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C.3.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</w:tr>
      <w:tr w:rsidR="00FC70A4" w:rsidRPr="008A64B2" w:rsidTr="000A2399">
        <w:trPr>
          <w:trHeight w:val="814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Ukupni iznos prihvatljivih troškova bez općih troškova</w:t>
            </w: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zbrojiti iznose iz redova A + B + C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3.499.506,69</w:t>
            </w:r>
          </w:p>
        </w:tc>
      </w:tr>
      <w:tr w:rsidR="00FC70A4" w:rsidRPr="008A64B2" w:rsidTr="000A2399">
        <w:trPr>
          <w:trHeight w:val="839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4B2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rPr>
                <w:b/>
                <w:sz w:val="20"/>
                <w:szCs w:val="20"/>
              </w:rPr>
            </w:pPr>
            <w:r w:rsidRPr="008A64B2">
              <w:rPr>
                <w:b/>
                <w:sz w:val="20"/>
                <w:szCs w:val="20"/>
              </w:rPr>
              <w:t>Troškovi pripreme dokumentacije za Natječaj</w:t>
            </w:r>
          </w:p>
          <w:p w:rsidR="00FC70A4" w:rsidRPr="008A64B2" w:rsidRDefault="00FC70A4" w:rsidP="000A2399">
            <w:pPr>
              <w:rPr>
                <w:b/>
                <w:sz w:val="20"/>
                <w:szCs w:val="20"/>
              </w:rPr>
            </w:pP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zbrojite iznose iz redova E.1. + E.2. + 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69.000,00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E.1.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natječajne dokumentacije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13.800,00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69.000,00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E.2.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E.3.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</w:tr>
      <w:tr w:rsidR="00FC70A4" w:rsidRPr="008A64B2" w:rsidTr="000A2399">
        <w:trPr>
          <w:trHeight w:val="2033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4B2">
              <w:rPr>
                <w:b/>
                <w:bCs/>
                <w:color w:val="000000"/>
                <w:sz w:val="20"/>
                <w:szCs w:val="20"/>
              </w:rPr>
              <w:lastRenderedPageBreak/>
              <w:t>F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both"/>
              <w:rPr>
                <w:b/>
                <w:sz w:val="20"/>
                <w:szCs w:val="20"/>
              </w:rPr>
            </w:pPr>
            <w:r w:rsidRPr="008A64B2">
              <w:rPr>
                <w:b/>
                <w:sz w:val="20"/>
                <w:szCs w:val="20"/>
              </w:rPr>
              <w:t>Prihvatljivi iznos troškova pripreme dokumentacije za Natječaj</w:t>
            </w:r>
          </w:p>
          <w:p w:rsidR="00FC70A4" w:rsidRPr="008A64B2" w:rsidRDefault="00FC70A4" w:rsidP="000A2399">
            <w:pPr>
              <w:jc w:val="both"/>
              <w:rPr>
                <w:b/>
                <w:sz w:val="20"/>
                <w:szCs w:val="20"/>
              </w:rPr>
            </w:pPr>
          </w:p>
          <w:p w:rsidR="00FC70A4" w:rsidRPr="008A64B2" w:rsidRDefault="00FC70A4" w:rsidP="000A2399">
            <w:pPr>
              <w:jc w:val="both"/>
              <w:rPr>
                <w:i/>
                <w:sz w:val="18"/>
                <w:szCs w:val="18"/>
              </w:rPr>
            </w:pPr>
            <w:r w:rsidRPr="008A64B2">
              <w:rPr>
                <w:i/>
                <w:iCs/>
                <w:sz w:val="18"/>
                <w:szCs w:val="18"/>
              </w:rPr>
              <w:t xml:space="preserve">Pojašnjenje: </w:t>
            </w:r>
            <w:r w:rsidRPr="008A64B2">
              <w:rPr>
                <w:i/>
                <w:sz w:val="18"/>
                <w:szCs w:val="18"/>
              </w:rPr>
              <w:t>troškovi pripreme dokumentacije za Natječaj prihvatljivi su u iznosu do 2% od Ukupnog iznosa prihvatljivih troškova bez općih troškova iz reda D ali ne više od 10.000 eura u kunskoj protuvrijednosti.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sz w:val="18"/>
                <w:szCs w:val="18"/>
              </w:rPr>
              <w:t>Pomnožite Ukupni iznos prihvatljivih troškova bez općih troškova iz reda D s 0,02 (to jest 2%); preračunajte u kune iznos od 10.000 eura prema mjesečnom tečaju utvrđenom od Europske komisije za mjesec u kojem se podnosi zahtjev za potporu (web adresa za uvid u navedeni tečaj je: http://ec.europa.eu/budget/contracts_grants/info_contracts/inforeuro/index_en.cfm ); usporedite dobivene iznose s iznosom iz reda E (Troškovi pripreme dokumentacije za Natječaj) i upišite najmanji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69.000,00</w:t>
            </w:r>
          </w:p>
        </w:tc>
      </w:tr>
      <w:tr w:rsidR="00FC70A4" w:rsidRPr="008A64B2" w:rsidTr="000A2399">
        <w:trPr>
          <w:trHeight w:val="1122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4B2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rPr>
                <w:b/>
                <w:sz w:val="20"/>
                <w:szCs w:val="20"/>
              </w:rPr>
            </w:pPr>
            <w:r w:rsidRPr="008A64B2">
              <w:rPr>
                <w:b/>
                <w:sz w:val="20"/>
                <w:szCs w:val="20"/>
              </w:rPr>
              <w:t>Troškovi pripreme projektno - tehničke dokumentacije, geodetskih usluga, elaborata i certifikata, nadzora i vođenja projekta te troškovi pripreme i provedbe nabave</w:t>
            </w:r>
          </w:p>
          <w:p w:rsidR="00FC70A4" w:rsidRPr="008A64B2" w:rsidRDefault="00FC70A4" w:rsidP="000A2399">
            <w:pPr>
              <w:rPr>
                <w:b/>
                <w:sz w:val="20"/>
                <w:szCs w:val="20"/>
              </w:rPr>
            </w:pP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zbrojite iznose iz redova G.1. + G.2. + 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79.000,0</w:t>
            </w:r>
            <w:r w:rsidRPr="008A64B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G.1.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projektne dokumentacije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G.2.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troškova nadzora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19.000,00</w:t>
            </w:r>
          </w:p>
        </w:tc>
      </w:tr>
      <w:tr w:rsidR="00FC70A4" w:rsidRPr="008A64B2" w:rsidTr="000A2399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G.3.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</w:tr>
      <w:tr w:rsidR="00FC70A4" w:rsidRPr="008A64B2" w:rsidTr="000A2399">
        <w:trPr>
          <w:trHeight w:val="2662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4B2">
              <w:rPr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both"/>
              <w:rPr>
                <w:b/>
                <w:sz w:val="20"/>
                <w:szCs w:val="20"/>
              </w:rPr>
            </w:pPr>
            <w:r w:rsidRPr="008A64B2">
              <w:rPr>
                <w:b/>
                <w:sz w:val="20"/>
                <w:szCs w:val="20"/>
              </w:rPr>
              <w:t>Prihvatljivi iznos troškova pripreme projektno - tehničke dokumentacije, geodetskih usluga, elaborata i certifikata, nadzora i vođenja projekta te troškovi pripreme i provedbe nabave</w:t>
            </w:r>
          </w:p>
          <w:p w:rsidR="00FC70A4" w:rsidRPr="008A64B2" w:rsidRDefault="00FC70A4" w:rsidP="000A2399">
            <w:pPr>
              <w:jc w:val="both"/>
              <w:rPr>
                <w:b/>
                <w:sz w:val="20"/>
                <w:szCs w:val="20"/>
              </w:rPr>
            </w:pPr>
          </w:p>
          <w:p w:rsidR="00FC70A4" w:rsidRPr="008A64B2" w:rsidRDefault="00FC70A4" w:rsidP="000A2399">
            <w:pPr>
              <w:jc w:val="both"/>
              <w:rPr>
                <w:i/>
                <w:iCs/>
                <w:sz w:val="18"/>
                <w:szCs w:val="18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troškovi pripreme projektno - tehničke dokumentacije, geodetskih usluga, elaborata i certifikata, nadzora i vođenja projekta te troškovi pripreme i provedbe nabave prihvatljivi su u iznosu koji čini razliku između gornje granice od 10% od Ukupnog iznosa prihvatljivih troškova bez općih troškova iz reda D i troškova navedenih u redu F (Prihvatljivi iznos troškova pripreme dokumentacije za Natječaj).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sz w:val="18"/>
                <w:szCs w:val="18"/>
              </w:rPr>
              <w:t xml:space="preserve">Pomnožite Ukupni iznos prihvatljivih troškova bez općih troškova iz reda D s 0,10 (to jest 10%) te od dobivenog umnoška oduzmite iznos iz reda F (Prihvatljivi iznos troškova pripreme dokumentacije za Natječaj); dobivenu razliku usporedite s iznosom iz reda </w:t>
            </w:r>
            <w:r>
              <w:rPr>
                <w:i/>
                <w:iCs/>
                <w:sz w:val="18"/>
                <w:szCs w:val="18"/>
              </w:rPr>
              <w:t>G</w:t>
            </w:r>
            <w:r w:rsidRPr="008A64B2">
              <w:rPr>
                <w:i/>
                <w:iCs/>
                <w:sz w:val="18"/>
                <w:szCs w:val="18"/>
              </w:rPr>
              <w:t xml:space="preserve"> (</w:t>
            </w:r>
            <w:r w:rsidRPr="00D740D8">
              <w:rPr>
                <w:i/>
                <w:iCs/>
                <w:sz w:val="18"/>
                <w:szCs w:val="18"/>
              </w:rPr>
              <w:t>Troškovi pripreme projektno - tehničke dokumentacije, geodetskih usluga, elaborata i certifikata, nadzora i vođenja projekta te troškovi pripreme i provedbe nabave</w:t>
            </w:r>
            <w:r w:rsidRPr="008A64B2">
              <w:rPr>
                <w:i/>
                <w:iCs/>
                <w:sz w:val="18"/>
                <w:szCs w:val="18"/>
              </w:rPr>
              <w:t xml:space="preserve">) te </w:t>
            </w:r>
            <w:r w:rsidRPr="008A64B2">
              <w:rPr>
                <w:i/>
                <w:sz w:val="18"/>
                <w:szCs w:val="18"/>
              </w:rPr>
              <w:t>upišite 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79.000</w:t>
            </w:r>
            <w:r w:rsidRPr="008A64B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C70A4" w:rsidRPr="008A64B2" w:rsidTr="000A2399">
        <w:trPr>
          <w:trHeight w:val="1792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Ukupni iznos prihvatljivih općih troškova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C70A4" w:rsidRPr="008A64B2" w:rsidRDefault="00FC70A4" w:rsidP="000A2399">
            <w:pPr>
              <w:jc w:val="both"/>
              <w:rPr>
                <w:i/>
                <w:iCs/>
                <w:sz w:val="18"/>
                <w:szCs w:val="18"/>
              </w:rPr>
            </w:pPr>
            <w:r w:rsidRPr="008A64B2">
              <w:rPr>
                <w:i/>
                <w:iCs/>
                <w:sz w:val="18"/>
                <w:szCs w:val="18"/>
              </w:rPr>
              <w:t xml:space="preserve">Pojašnjenje: opći troškovi prihvatljivi su u maksimalnom iznosu od 20.000 eura u kunskoj protuvrijednosti prema mjesečnom tečaju utvrđenom od Europske komisije za mjesec u kojem se podnosi zahtjev za potporu (web adresa za uvid u navedeni tečaj je: http://ec.europa.eu/budget/contracts_grants/info_contracts/inforeuro/index_en.cfm). 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>Zbrojite iznose iz redova F i H; dobiveni zbroj usporedite s iznosom od 20.000 eura u kunskoj protuvrijednost te upišite 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148.000</w:t>
            </w:r>
            <w:r w:rsidRPr="008A64B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C70A4" w:rsidRPr="008A64B2" w:rsidTr="000A2399">
        <w:trPr>
          <w:trHeight w:val="217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Ukupni iznos prihvatljivog ulaganja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 xml:space="preserve">(min. 15.000 eura, </w:t>
            </w:r>
            <w:proofErr w:type="spellStart"/>
            <w:r w:rsidRPr="008A64B2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8A64B2">
              <w:rPr>
                <w:b/>
                <w:bCs/>
                <w:sz w:val="20"/>
                <w:szCs w:val="20"/>
              </w:rPr>
              <w:t>. 1.000.000 eura u kunskoj protuvrijednosti)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C70A4" w:rsidRPr="008A64B2" w:rsidRDefault="00FC70A4" w:rsidP="000A2399">
            <w:pPr>
              <w:jc w:val="both"/>
              <w:rPr>
                <w:i/>
                <w:iCs/>
                <w:sz w:val="18"/>
                <w:szCs w:val="18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najviši iznos prihvatljivih troškova po projektu/operaciji iznosi 1.000.000 eura u kunskoj protuvrijednosti prema mjesečnom tečaju utvrđenom od Europske komisije za mjesec u kojem se podnosi zahtjev za potporu (web adresa za uvid u navedeni tečaj je: http://ec.europa.eu/budget/contracts_grants/info_contracts/inforeuro/index_en.cfm).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 xml:space="preserve">Zbrojiti iznose iz redova D + </w:t>
            </w:r>
            <w:proofErr w:type="spellStart"/>
            <w:r w:rsidRPr="008A64B2">
              <w:rPr>
                <w:i/>
                <w:iCs/>
                <w:sz w:val="18"/>
                <w:szCs w:val="18"/>
              </w:rPr>
              <w:t>I;dobiveni</w:t>
            </w:r>
            <w:proofErr w:type="spellEnd"/>
            <w:r w:rsidRPr="008A64B2">
              <w:rPr>
                <w:i/>
                <w:iCs/>
                <w:sz w:val="18"/>
                <w:szCs w:val="18"/>
              </w:rPr>
              <w:t xml:space="preserve"> zbroj usporedite s iznosom od 1.000.000 eura u kunskoj protuvrijednost te upišite 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3.647.506,69</w:t>
            </w:r>
          </w:p>
        </w:tc>
      </w:tr>
      <w:tr w:rsidR="00FC70A4" w:rsidRPr="008A64B2" w:rsidTr="000A2399">
        <w:trPr>
          <w:trHeight w:val="1095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 xml:space="preserve">Iznos </w:t>
            </w:r>
            <w:r>
              <w:rPr>
                <w:b/>
                <w:bCs/>
                <w:sz w:val="20"/>
                <w:szCs w:val="20"/>
              </w:rPr>
              <w:t>dodijeljene/</w:t>
            </w:r>
            <w:r w:rsidRPr="008A64B2">
              <w:rPr>
                <w:b/>
                <w:bCs/>
                <w:sz w:val="20"/>
                <w:szCs w:val="20"/>
              </w:rPr>
              <w:t>primljene državne potpore za iste troškove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ukoliko je korisnik ostvario</w:t>
            </w:r>
            <w:r>
              <w:rPr>
                <w:i/>
                <w:iCs/>
                <w:sz w:val="18"/>
                <w:szCs w:val="18"/>
              </w:rPr>
              <w:t>/primio</w:t>
            </w:r>
            <w:r w:rsidRPr="008A64B2">
              <w:rPr>
                <w:i/>
                <w:iCs/>
                <w:sz w:val="18"/>
                <w:szCs w:val="18"/>
              </w:rPr>
              <w:t xml:space="preserve"> državnu potporu </w:t>
            </w:r>
            <w:r>
              <w:rPr>
                <w:i/>
                <w:iCs/>
                <w:sz w:val="18"/>
                <w:szCs w:val="18"/>
              </w:rPr>
              <w:t xml:space="preserve">(javnu potporu iz lokalnih izvora) </w:t>
            </w:r>
            <w:r w:rsidRPr="008A64B2">
              <w:rPr>
                <w:b/>
                <w:i/>
                <w:iCs/>
                <w:sz w:val="18"/>
                <w:szCs w:val="18"/>
              </w:rPr>
              <w:t xml:space="preserve">za iste troškove </w:t>
            </w:r>
            <w:r w:rsidRPr="008A64B2">
              <w:rPr>
                <w:i/>
                <w:iCs/>
                <w:sz w:val="18"/>
                <w:szCs w:val="18"/>
              </w:rPr>
              <w:t xml:space="preserve">(članak 23. stavak 12 Pravilnika), upisati iznos </w:t>
            </w:r>
            <w:r>
              <w:rPr>
                <w:i/>
                <w:iCs/>
                <w:sz w:val="18"/>
                <w:szCs w:val="18"/>
              </w:rPr>
              <w:t>dodijeljene/</w:t>
            </w:r>
            <w:r w:rsidRPr="008A64B2">
              <w:rPr>
                <w:i/>
                <w:iCs/>
                <w:sz w:val="18"/>
                <w:szCs w:val="18"/>
              </w:rPr>
              <w:t>primljene državne potpore.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C70A4" w:rsidRPr="008A64B2" w:rsidTr="000A2399">
        <w:trPr>
          <w:trHeight w:val="839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Intenzitet javne potpore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C70A4" w:rsidRPr="008A64B2" w:rsidRDefault="00FC70A4" w:rsidP="000A2399">
            <w:pPr>
              <w:jc w:val="both"/>
              <w:rPr>
                <w:i/>
                <w:iCs/>
                <w:sz w:val="18"/>
                <w:szCs w:val="18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Upišite inte</w:t>
            </w:r>
            <w:r>
              <w:rPr>
                <w:i/>
                <w:iCs/>
                <w:sz w:val="18"/>
                <w:szCs w:val="18"/>
              </w:rPr>
              <w:t>nzitet javne potpore u skladu s</w:t>
            </w:r>
            <w:r w:rsidRPr="008A64B2">
              <w:rPr>
                <w:i/>
                <w:iCs/>
                <w:sz w:val="18"/>
                <w:szCs w:val="18"/>
              </w:rPr>
              <w:t xml:space="preserve"> člankom 17, stavak 3 i 4. Pravilnika.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8A64B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C70A4" w:rsidRPr="008A64B2" w:rsidTr="000A2399">
        <w:trPr>
          <w:trHeight w:val="2035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lastRenderedPageBreak/>
              <w:t>M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Iznos potpore prema procijenjenom iznosu prihvatljivog ulaganja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8A64B2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(min. 15.000 eura, </w:t>
            </w:r>
            <w:proofErr w:type="spellStart"/>
            <w:r w:rsidRPr="008A64B2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max</w:t>
            </w:r>
            <w:proofErr w:type="spellEnd"/>
            <w:r w:rsidRPr="008A64B2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. 1.000.000 eura u kunskoj protuvrijednosti)</w:t>
            </w:r>
          </w:p>
          <w:p w:rsidR="00FC70A4" w:rsidRPr="008A64B2" w:rsidRDefault="00FC70A4" w:rsidP="000A239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FC70A4" w:rsidRPr="008A64B2" w:rsidRDefault="00FC70A4" w:rsidP="000A2399">
            <w:pPr>
              <w:jc w:val="both"/>
              <w:rPr>
                <w:i/>
                <w:iCs/>
                <w:sz w:val="18"/>
                <w:szCs w:val="18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najviši iznos javne potpore po projektu iznosi 1.000.000 eura u kunskoj protuvrijednosti prema mjesečnom tečaju utvrđenom od Europske komisije za mjesec u kojem se podnosi zahtjev za potporu (web adresa za uvid u navedeni tečaj je: http://ec.europa.eu/budget/contracts_grants/info_contracts/inforeuro/index_en.cfm).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 xml:space="preserve">Pomnožite iznos iz reda J s intenzitetom potpore iz reda L; od dobivenog iznosa (umnoška) oduzeti iznos </w:t>
            </w:r>
            <w:r>
              <w:rPr>
                <w:i/>
                <w:iCs/>
                <w:sz w:val="18"/>
                <w:szCs w:val="18"/>
              </w:rPr>
              <w:t>dodijeljene/</w:t>
            </w:r>
            <w:r w:rsidRPr="008A64B2">
              <w:rPr>
                <w:i/>
                <w:iCs/>
                <w:sz w:val="18"/>
                <w:szCs w:val="18"/>
              </w:rPr>
              <w:t>primljene državne potpore za iste troškove iz reda K.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3.647.506,69</w:t>
            </w:r>
          </w:p>
        </w:tc>
      </w:tr>
      <w:tr w:rsidR="00FC70A4" w:rsidRPr="008A64B2" w:rsidTr="000A2399">
        <w:trPr>
          <w:trHeight w:val="742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hideMark/>
          </w:tcPr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Iznos potpore iz proračuna EU (85% ukupnog iznosa potpore)</w:t>
            </w:r>
          </w:p>
          <w:p w:rsidR="00FC70A4" w:rsidRPr="008A64B2" w:rsidRDefault="00FC70A4" w:rsidP="000A2399">
            <w:pPr>
              <w:rPr>
                <w:i/>
                <w:iCs/>
                <w:sz w:val="18"/>
                <w:szCs w:val="18"/>
              </w:rPr>
            </w:pP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pomnožiti iznos potpore iz reda M sa 0,85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3.100.380,69</w:t>
            </w:r>
          </w:p>
        </w:tc>
      </w:tr>
      <w:tr w:rsidR="00FC70A4" w:rsidRPr="008A64B2" w:rsidTr="000A2399">
        <w:trPr>
          <w:trHeight w:val="75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hideMark/>
          </w:tcPr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Iznos potpore iz proračuna Republike Hrvatske (15% ukupnog iznosa potpore)</w:t>
            </w:r>
          </w:p>
          <w:p w:rsidR="00FC70A4" w:rsidRPr="008A64B2" w:rsidRDefault="00FC70A4" w:rsidP="000A2399">
            <w:pPr>
              <w:rPr>
                <w:i/>
                <w:iCs/>
                <w:sz w:val="18"/>
                <w:szCs w:val="18"/>
              </w:rPr>
            </w:pPr>
          </w:p>
          <w:p w:rsidR="00FC70A4" w:rsidRPr="008A64B2" w:rsidRDefault="00FC70A4" w:rsidP="000A2399">
            <w:pPr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pomnožite iznos potpore iz reda M sa 0,15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547.126,00</w:t>
            </w:r>
          </w:p>
        </w:tc>
      </w:tr>
      <w:tr w:rsidR="00FC70A4" w:rsidRPr="008A64B2" w:rsidTr="000A2399">
        <w:trPr>
          <w:trHeight w:val="460"/>
          <w:jc w:val="center"/>
        </w:trPr>
        <w:tc>
          <w:tcPr>
            <w:tcW w:w="10891" w:type="dxa"/>
            <w:gridSpan w:val="5"/>
            <w:shd w:val="clear" w:color="auto" w:fill="D9E2F3" w:themeFill="accent5" w:themeFillTint="33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4B2">
              <w:rPr>
                <w:b/>
                <w:bCs/>
                <w:color w:val="000000"/>
                <w:sz w:val="20"/>
                <w:szCs w:val="20"/>
              </w:rPr>
              <w:t>II. NEPRIHVATLJIVI TROŠKOVI</w:t>
            </w:r>
          </w:p>
        </w:tc>
      </w:tr>
      <w:tr w:rsidR="00FC70A4" w:rsidRPr="008A64B2" w:rsidTr="000A2399">
        <w:trPr>
          <w:trHeight w:val="1794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Ukupni iznos neprihvatljivih troškova</w:t>
            </w:r>
          </w:p>
          <w:p w:rsidR="00FC70A4" w:rsidRPr="008A64B2" w:rsidRDefault="00FC70A4" w:rsidP="000A239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FC70A4" w:rsidRPr="008A64B2" w:rsidRDefault="00FC70A4" w:rsidP="000A2399">
            <w:pPr>
              <w:jc w:val="both"/>
              <w:rPr>
                <w:i/>
                <w:iCs/>
                <w:sz w:val="18"/>
                <w:szCs w:val="18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zbrojite iznose iz redova P.1. + P.2. + ...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18"/>
                <w:szCs w:val="18"/>
              </w:rPr>
            </w:pPr>
            <w:r w:rsidRPr="008A64B2">
              <w:rPr>
                <w:bCs/>
                <w:i/>
                <w:sz w:val="18"/>
                <w:szCs w:val="18"/>
              </w:rPr>
              <w:t>Neprihvatljivi troškovi su sastavni dio projekta/operacije koji ne mogu biti sufinancirani iz EPFRR. Pod neprihvatljivim troškovima potrebno je navesti na primjer troškove građenja za predmetno ulaganje nastale/izvršene prije podnošenja Zahtjeva za potporu, kamate na kredit za predmetno ulaganje, trošak PDV-a ukoliko korisniku PDV nije prihvatljiv te ostale troškove koji su sastavni dio projekta/operacije, a koji sukladno Pravilniku i Listi prihvatljivih troškova nisu prihvatljivi.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66.000,00</w:t>
            </w:r>
          </w:p>
        </w:tc>
      </w:tr>
      <w:tr w:rsidR="00FC70A4" w:rsidRPr="008A64B2" w:rsidTr="000A2399">
        <w:trPr>
          <w:trHeight w:val="171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P.1.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troškova nadzora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52.800,00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13.200,00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</w:tr>
      <w:tr w:rsidR="00FC70A4" w:rsidRPr="008A64B2" w:rsidTr="000A2399">
        <w:trPr>
          <w:trHeight w:val="205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P.2.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</w:tr>
      <w:tr w:rsidR="00FC70A4" w:rsidRPr="008A64B2" w:rsidTr="000A2399">
        <w:trPr>
          <w:trHeight w:val="215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color w:val="000000"/>
                <w:sz w:val="20"/>
                <w:szCs w:val="20"/>
              </w:rPr>
            </w:pPr>
            <w:r w:rsidRPr="008A64B2">
              <w:rPr>
                <w:color w:val="000000"/>
                <w:sz w:val="20"/>
                <w:szCs w:val="20"/>
              </w:rPr>
              <w:t>P.3.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FC70A4" w:rsidRPr="008A64B2" w:rsidRDefault="00FC70A4" w:rsidP="000A2399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FC70A4" w:rsidRPr="008A64B2" w:rsidRDefault="00FC70A4" w:rsidP="000A2399">
            <w:pPr>
              <w:jc w:val="right"/>
              <w:rPr>
                <w:sz w:val="20"/>
                <w:szCs w:val="20"/>
              </w:rPr>
            </w:pPr>
          </w:p>
        </w:tc>
      </w:tr>
      <w:tr w:rsidR="00FC70A4" w:rsidRPr="008A64B2" w:rsidTr="000A2399">
        <w:trPr>
          <w:trHeight w:val="460"/>
          <w:jc w:val="center"/>
        </w:trPr>
        <w:tc>
          <w:tcPr>
            <w:tcW w:w="10891" w:type="dxa"/>
            <w:gridSpan w:val="5"/>
            <w:shd w:val="clear" w:color="auto" w:fill="D9E2F3" w:themeFill="accent5" w:themeFillTint="33"/>
            <w:noWrap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4B2">
              <w:rPr>
                <w:b/>
                <w:bCs/>
                <w:color w:val="000000"/>
                <w:sz w:val="20"/>
                <w:szCs w:val="20"/>
              </w:rPr>
              <w:t>III. UKUPNI IZNOS PROJEKTA I VLASTITIH SREDSTAVA</w:t>
            </w:r>
          </w:p>
        </w:tc>
      </w:tr>
      <w:tr w:rsidR="00FC70A4" w:rsidRPr="008A64B2" w:rsidTr="000A2399">
        <w:trPr>
          <w:trHeight w:val="192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Ukupni iznos projekta</w:t>
            </w:r>
          </w:p>
          <w:p w:rsidR="00FC70A4" w:rsidRPr="008A64B2" w:rsidRDefault="00FC70A4" w:rsidP="000A2399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FC70A4" w:rsidRPr="008A64B2" w:rsidRDefault="00FC70A4" w:rsidP="000A2399">
            <w:pPr>
              <w:jc w:val="both"/>
              <w:rPr>
                <w:i/>
                <w:iCs/>
                <w:sz w:val="18"/>
                <w:szCs w:val="18"/>
              </w:rPr>
            </w:pPr>
            <w:r w:rsidRPr="008A64B2">
              <w:rPr>
                <w:i/>
                <w:iCs/>
                <w:sz w:val="18"/>
                <w:szCs w:val="18"/>
              </w:rPr>
              <w:t>Pojašnjenje: najviši iznos vrijednosti projekta za koji se može podnijeti Zahtjev za potporu iznosi 1.250.000 eura u kunskoj protuvrijednosti prema mjesečnom tečaju utvrđenom od Europske komisije za mjesec u kojem se podnosi zahtjev za potporu (web adresa za uvid u navedeni tečaj je: http://ec.europa.eu/budget/contracts_grants/info_contracts/inforeuro/index_en.cfm).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i/>
                <w:iCs/>
                <w:sz w:val="18"/>
                <w:szCs w:val="18"/>
              </w:rPr>
              <w:t xml:space="preserve">Zbrojiti iznose iz redova D + E + G + </w:t>
            </w:r>
            <w:proofErr w:type="spellStart"/>
            <w:r w:rsidRPr="008A64B2">
              <w:rPr>
                <w:i/>
                <w:iCs/>
                <w:sz w:val="18"/>
                <w:szCs w:val="18"/>
              </w:rPr>
              <w:t>P;dobiveni</w:t>
            </w:r>
            <w:proofErr w:type="spellEnd"/>
            <w:r w:rsidRPr="008A64B2">
              <w:rPr>
                <w:i/>
                <w:iCs/>
                <w:sz w:val="18"/>
                <w:szCs w:val="18"/>
              </w:rPr>
              <w:t xml:space="preserve"> zbroj usporedite s iznosom od 1.250.000 eura u kunskoj protuvrijednost.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  <w:hideMark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3.713.506,69</w:t>
            </w:r>
          </w:p>
        </w:tc>
      </w:tr>
      <w:tr w:rsidR="00FC70A4" w:rsidRPr="008A64B2" w:rsidTr="000A2399">
        <w:trPr>
          <w:trHeight w:val="828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FC70A4" w:rsidRPr="008A64B2" w:rsidDel="00CB4893" w:rsidRDefault="00FC70A4" w:rsidP="000A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r w:rsidRPr="008A64B2">
              <w:rPr>
                <w:b/>
                <w:bCs/>
                <w:sz w:val="20"/>
                <w:szCs w:val="20"/>
              </w:rPr>
              <w:t>Iznos vlastitih sredstava</w:t>
            </w:r>
          </w:p>
          <w:p w:rsidR="00FC70A4" w:rsidRPr="008A64B2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C70A4" w:rsidRPr="008A64B2" w:rsidDel="00CB4893" w:rsidRDefault="00FC70A4" w:rsidP="000A239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A64B2">
              <w:rPr>
                <w:bCs/>
                <w:i/>
                <w:sz w:val="18"/>
                <w:szCs w:val="18"/>
              </w:rPr>
              <w:t>Pojašnjenje:od</w:t>
            </w:r>
            <w:proofErr w:type="spellEnd"/>
            <w:r w:rsidRPr="008A64B2">
              <w:rPr>
                <w:bCs/>
                <w:i/>
                <w:sz w:val="18"/>
                <w:szCs w:val="18"/>
              </w:rPr>
              <w:t xml:space="preserve"> ukupnog iznosa projekta iz reda Q oduzeti iznos potpore iz reda M.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FC70A4" w:rsidRPr="008A64B2" w:rsidRDefault="00FC70A4" w:rsidP="000A2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66.000,00</w:t>
            </w:r>
          </w:p>
        </w:tc>
      </w:tr>
    </w:tbl>
    <w:p w:rsidR="00FC70A4" w:rsidRPr="008A64B2" w:rsidRDefault="00FC70A4" w:rsidP="00FC70A4">
      <w:pPr>
        <w:ind w:left="426"/>
        <w:jc w:val="both"/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Default="00FC70A4" w:rsidP="00FC70A4">
      <w:pPr>
        <w:spacing w:after="120"/>
        <w:jc w:val="both"/>
        <w:rPr>
          <w:b/>
        </w:rPr>
      </w:pPr>
    </w:p>
    <w:p w:rsidR="00FC70A4" w:rsidRPr="008A64B2" w:rsidRDefault="00FC70A4" w:rsidP="00FC70A4">
      <w:pPr>
        <w:spacing w:after="120"/>
        <w:jc w:val="both"/>
        <w:rPr>
          <w:b/>
        </w:rPr>
      </w:pPr>
    </w:p>
    <w:p w:rsidR="00FC70A4" w:rsidRPr="008A64B2" w:rsidRDefault="00FC70A4" w:rsidP="00FC70A4">
      <w:pPr>
        <w:spacing w:after="120"/>
        <w:jc w:val="both"/>
      </w:pPr>
      <w:r w:rsidRPr="008A64B2">
        <w:rPr>
          <w:b/>
        </w:rPr>
        <w:t>7. LJUDSKI KAPACITET KORISNIKA</w:t>
      </w:r>
    </w:p>
    <w:p w:rsidR="00FC70A4" w:rsidRPr="008A64B2" w:rsidRDefault="00FC70A4" w:rsidP="00FC70A4">
      <w:pPr>
        <w:jc w:val="both"/>
        <w:rPr>
          <w:i/>
          <w:color w:val="000000"/>
        </w:rPr>
      </w:pPr>
      <w:r w:rsidRPr="008A64B2">
        <w:rPr>
          <w:i/>
        </w:rPr>
        <w:t>(navesti dosadašnja iskustva korisnika u provedbi sličnih projekta/operacija, broj osoba i stručne kvalifikacije osoba uključenih u provedbu planiranog projekta/operacije; navesti broj osoba i stručne kvalifikacije osoba koji su zaposlenici, članovi ili volonteri korisnika ili pravnu osobu koja održava/upravlja projektom/operacijom, a koji su uključeni u održavanje i upravljanje realiziranim projektom/operacijom u razdoblju od najmanje pet godina od dana konačne isplate sredstava iz Mjere 07 „Temeljne usluge i obnova sela u ruralnim područjima)</w:t>
      </w:r>
    </w:p>
    <w:p w:rsidR="00FC70A4" w:rsidRDefault="00FC70A4" w:rsidP="00FC70A4">
      <w:r>
        <w:t>Korisnik je iskustvo u pripremi i provedbi projekata stekao kroz implementaciju sljedećih projekata: izgradnja i opremanje lovačkog doma, izgradnja, obnova i rekonstrukcija lovno-gospodarskih i lovno tehničkih objekata (čeke, hranilišta, solišta, spremišta hrane), izgradnja i opremanje klaonice za divljač.</w:t>
      </w:r>
    </w:p>
    <w:p w:rsidR="00FC70A4" w:rsidRPr="008A64B2" w:rsidRDefault="00FC70A4" w:rsidP="00FC70A4">
      <w:r>
        <w:t>Za provedbu projekta , upravljanje i održavanje odgovoran je projektni tim korisnika koji čine 5 osoba, članova korisnika, sljedećih stručnih kvalifikacija: 2 diplomirana inženjera šumarstva, 1 diplomirani ekonomist te 2 strojarska tehničara.</w:t>
      </w:r>
    </w:p>
    <w:p w:rsidR="00FC70A4" w:rsidRPr="008A64B2" w:rsidRDefault="00FC70A4" w:rsidP="00FC70A4">
      <w:pPr>
        <w:jc w:val="both"/>
      </w:pPr>
      <w:r w:rsidRPr="008A64B2">
        <w:rPr>
          <w:b/>
        </w:rPr>
        <w:t xml:space="preserve">8.NAČIN ODRŽAVANJA I UPRAVLJANJA PROJEKTOM/OPERACIJOM </w:t>
      </w:r>
    </w:p>
    <w:p w:rsidR="00FC70A4" w:rsidRPr="008A64B2" w:rsidRDefault="00FC70A4" w:rsidP="00FC70A4">
      <w:pPr>
        <w:spacing w:after="120"/>
        <w:jc w:val="both"/>
      </w:pPr>
      <w:r w:rsidRPr="008A64B2">
        <w:t>8.1. PRIHODI I RASHODI PROJEKTA/OPERACIJE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(navesti planirane izvore prihoda/sufinanciranja i rashode nužne za upravljanje i održavanje realiziranim projektom u predviđenoj funkciji projekta/operacije)</w:t>
      </w:r>
    </w:p>
    <w:p w:rsidR="00FC70A4" w:rsidRDefault="00FC70A4" w:rsidP="00FC70A4">
      <w:pPr>
        <w:jc w:val="both"/>
        <w:rPr>
          <w:b/>
        </w:rPr>
      </w:pPr>
      <w:r w:rsidRPr="00424074">
        <w:rPr>
          <w:b/>
        </w:rPr>
        <w:t>Prihodi:</w:t>
      </w:r>
    </w:p>
    <w:p w:rsidR="00FC70A4" w:rsidRPr="00424074" w:rsidRDefault="00FC70A4" w:rsidP="00FC70A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74">
        <w:rPr>
          <w:rFonts w:ascii="Times New Roman" w:hAnsi="Times New Roman" w:cs="Times New Roman"/>
          <w:b/>
          <w:sz w:val="24"/>
          <w:szCs w:val="24"/>
        </w:rPr>
        <w:t>članarine</w:t>
      </w:r>
    </w:p>
    <w:p w:rsidR="00FC70A4" w:rsidRPr="00424074" w:rsidRDefault="00FC70A4" w:rsidP="00FC70A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74">
        <w:rPr>
          <w:rFonts w:ascii="Times New Roman" w:hAnsi="Times New Roman" w:cs="Times New Roman"/>
          <w:b/>
          <w:sz w:val="24"/>
          <w:szCs w:val="24"/>
        </w:rPr>
        <w:t>prihodi od natjecanja</w:t>
      </w:r>
    </w:p>
    <w:p w:rsidR="00FC70A4" w:rsidRDefault="00FC70A4" w:rsidP="00FC70A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74">
        <w:rPr>
          <w:rFonts w:ascii="Times New Roman" w:hAnsi="Times New Roman" w:cs="Times New Roman"/>
          <w:b/>
          <w:sz w:val="24"/>
          <w:szCs w:val="24"/>
        </w:rPr>
        <w:t>proračun općine</w:t>
      </w:r>
    </w:p>
    <w:p w:rsidR="00FC70A4" w:rsidRDefault="00FC70A4" w:rsidP="00FC70A4">
      <w:pPr>
        <w:jc w:val="both"/>
        <w:rPr>
          <w:b/>
        </w:rPr>
      </w:pPr>
      <w:r>
        <w:rPr>
          <w:b/>
        </w:rPr>
        <w:t>Rashodi:</w:t>
      </w:r>
    </w:p>
    <w:p w:rsidR="00FC70A4" w:rsidRDefault="00FC70A4" w:rsidP="00FC70A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režijski troškovi (struja, voda…)</w:t>
      </w:r>
    </w:p>
    <w:p w:rsidR="00FC70A4" w:rsidRDefault="00FC70A4" w:rsidP="00FC70A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održavanje opreme</w:t>
      </w:r>
    </w:p>
    <w:p w:rsidR="00FC70A4" w:rsidRPr="00424074" w:rsidRDefault="00FC70A4" w:rsidP="00FC70A4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A4" w:rsidRPr="008A64B2" w:rsidRDefault="00FC70A4" w:rsidP="00FC70A4">
      <w:pPr>
        <w:jc w:val="both"/>
        <w:rPr>
          <w:b/>
        </w:rPr>
      </w:pPr>
    </w:p>
    <w:p w:rsidR="00FC70A4" w:rsidRPr="008A64B2" w:rsidRDefault="00FC70A4" w:rsidP="00FC70A4">
      <w:pPr>
        <w:spacing w:after="120"/>
        <w:jc w:val="both"/>
      </w:pPr>
      <w:r w:rsidRPr="008A64B2">
        <w:t>8.2. ODRŽAVANJE I UPRAVLJANJE PROJEKTOM/OPERACIJOM PET GODINA OD DANA KONAČNE ISPLATE SREDSTAVA</w:t>
      </w:r>
    </w:p>
    <w:p w:rsidR="00FC70A4" w:rsidRPr="008A64B2" w:rsidRDefault="00FC70A4" w:rsidP="00FC70A4">
      <w:pPr>
        <w:jc w:val="both"/>
        <w:rPr>
          <w:i/>
          <w:color w:val="000000"/>
        </w:rPr>
      </w:pPr>
      <w:r w:rsidRPr="008A64B2">
        <w:rPr>
          <w:i/>
        </w:rPr>
        <w:t>(navesti broj osoba i stručne kvalifikacije osoba koji su zaposlenici, članovi ili volonteri korisnika, a koji su uključeni u održavanje i upravljanje realiziranim projektom/operacijom u razdoblju od najmanje pet godina od dana konačne isplate sredstava iz Mjere 07 „Temeljne usluge i obnova sela u ruralnim područjima“; navesti način upravljanja projektom/operacijom kada je korisnik prenio ili će prenijeti upravljanje projektom/operacijom drugoj pravnoj osobi sukladno nadležnim propisima)</w:t>
      </w:r>
    </w:p>
    <w:p w:rsidR="00FC70A4" w:rsidRPr="008A64B2" w:rsidRDefault="00FC70A4" w:rsidP="00FC70A4">
      <w:r>
        <w:t>Za upravljanje i održavanje projektom odgovoran je projektni tim korisnika kojega čini 5 članova korisnika sljedećih stručnih kvalifikacija: 2 diplomirana inženjera šumarstva, 1 diplomirani ekonomist te 2 strojarska tehničara.</w:t>
      </w:r>
    </w:p>
    <w:p w:rsidR="00FC70A4" w:rsidRPr="008A64B2" w:rsidRDefault="00FC70A4" w:rsidP="00FC70A4">
      <w:pPr>
        <w:jc w:val="both"/>
        <w:rPr>
          <w:b/>
        </w:rPr>
      </w:pPr>
      <w:r w:rsidRPr="008A64B2">
        <w:rPr>
          <w:b/>
        </w:rPr>
        <w:t>9. USKLAĐENOST PROJEKTA/OPERACIJE SA STRATEŠKIM RAZVOJNIM PROGRAMOM JEDINICE LOKALNE SAMOUPRAVE ILI S LOKALNOM RAZVOJNOM STRATEGIJOM ODABRANOG LAG-a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 xml:space="preserve">(navesti cilj i prioritet iz strateškog razvojnog programa jedince lokalne samouprave ili iz lokalne razvojne strategije odabranog LAG-a unutar Programa ruralnog razvoja Republike Hrvatske, a iz kojih je vidljivo da je projekt/operacija u skladu </w:t>
      </w:r>
      <w:proofErr w:type="spellStart"/>
      <w:r w:rsidRPr="008A64B2">
        <w:rPr>
          <w:i/>
        </w:rPr>
        <w:t>sastrateškim</w:t>
      </w:r>
      <w:proofErr w:type="spellEnd"/>
      <w:r w:rsidRPr="008A64B2">
        <w:rPr>
          <w:i/>
        </w:rPr>
        <w:t xml:space="preserve"> razvojnim programom, odnosno lokalnom razvojnom strategijom odabranog LAG-a; navesti broj </w:t>
      </w:r>
      <w:r w:rsidRPr="008A64B2">
        <w:rPr>
          <w:i/>
        </w:rPr>
        <w:lastRenderedPageBreak/>
        <w:t>poglavlja/stranice u kojem se navodi spomenuti cilj i prioritet; navesti broj i datum akta temeljem kojeg je strateški razvojni program usvojen od strane predstavničkog tijela jedinice lokalne samouprave; navesti gdje je taj akt objavljen - naziv i broj glasnika/link na mrežnu stranicu</w:t>
      </w:r>
      <w:r w:rsidRPr="008A64B2">
        <w:t xml:space="preserve">; </w:t>
      </w:r>
      <w:r w:rsidRPr="008A64B2">
        <w:rPr>
          <w:i/>
        </w:rPr>
        <w:t>navesti gdje je strateški razvojni programa objavljen - naziv i broj glasnika/link na mrežnu stranicu)</w:t>
      </w:r>
    </w:p>
    <w:p w:rsidR="00FC70A4" w:rsidRPr="00A76F8C" w:rsidRDefault="00FC70A4" w:rsidP="00FC70A4">
      <w:pPr>
        <w:jc w:val="both"/>
        <w:rPr>
          <w:b/>
        </w:rPr>
      </w:pPr>
      <w:r w:rsidRPr="00A76F8C">
        <w:rPr>
          <w:b/>
        </w:rPr>
        <w:t>Strategija razvoja općine Babina Greda 2016-2020.</w:t>
      </w:r>
    </w:p>
    <w:p w:rsidR="00FC70A4" w:rsidRPr="00A76F8C" w:rsidRDefault="00FC70A4" w:rsidP="00FC70A4">
      <w:pPr>
        <w:jc w:val="both"/>
        <w:rPr>
          <w:b/>
        </w:rPr>
      </w:pPr>
      <w:r w:rsidRPr="00A76F8C">
        <w:rPr>
          <w:b/>
        </w:rPr>
        <w:t>III Dio – Strateški okvir</w:t>
      </w:r>
    </w:p>
    <w:p w:rsidR="00FC70A4" w:rsidRPr="00A76F8C" w:rsidRDefault="00FC70A4" w:rsidP="00FC70A4">
      <w:pPr>
        <w:jc w:val="both"/>
        <w:rPr>
          <w:b/>
        </w:rPr>
      </w:pPr>
      <w:r w:rsidRPr="00A76F8C">
        <w:rPr>
          <w:b/>
        </w:rPr>
        <w:t>Stranica 36. Strateški cilj 2. „Razvijene temeljne usluge“</w:t>
      </w:r>
    </w:p>
    <w:p w:rsidR="00FC70A4" w:rsidRPr="00A76F8C" w:rsidRDefault="00FC70A4" w:rsidP="00FC70A4">
      <w:pPr>
        <w:jc w:val="both"/>
        <w:rPr>
          <w:b/>
        </w:rPr>
      </w:pPr>
      <w:r w:rsidRPr="00A76F8C">
        <w:rPr>
          <w:b/>
        </w:rPr>
        <w:t>Prioritet 2.3. „Promocija zdravog načina života“</w:t>
      </w:r>
    </w:p>
    <w:p w:rsidR="00FC70A4" w:rsidRDefault="00FC70A4" w:rsidP="00FC70A4">
      <w:pPr>
        <w:jc w:val="both"/>
        <w:rPr>
          <w:b/>
        </w:rPr>
      </w:pPr>
      <w:r w:rsidRPr="00A76F8C">
        <w:rPr>
          <w:b/>
        </w:rPr>
        <w:t>Mjera 2.3.1. „Jačanje/stvaranje uvjeta za bavljenje sportom“</w:t>
      </w:r>
    </w:p>
    <w:p w:rsidR="00FC70A4" w:rsidRPr="0094062B" w:rsidRDefault="00FC70A4" w:rsidP="00FC70A4">
      <w:pPr>
        <w:shd w:val="clear" w:color="auto" w:fill="FFFFFF"/>
        <w:rPr>
          <w:b/>
          <w:color w:val="222222"/>
        </w:rPr>
      </w:pPr>
      <w:r w:rsidRPr="00CB593D">
        <w:rPr>
          <w:b/>
          <w:color w:val="222222"/>
        </w:rPr>
        <w:t xml:space="preserve">Odluka </w:t>
      </w:r>
      <w:r w:rsidRPr="0094062B">
        <w:rPr>
          <w:b/>
          <w:color w:val="222222"/>
        </w:rPr>
        <w:t xml:space="preserve">općinskog Vijeća </w:t>
      </w:r>
      <w:r w:rsidRPr="00CB593D">
        <w:rPr>
          <w:b/>
          <w:color w:val="222222"/>
        </w:rPr>
        <w:t xml:space="preserve">kojom se usvaja Strategija razvoja Općine Babina Greda 2016.g. - 2020.g. </w:t>
      </w:r>
    </w:p>
    <w:p w:rsidR="00FC70A4" w:rsidRPr="0094062B" w:rsidRDefault="00FC70A4" w:rsidP="00FC70A4">
      <w:pPr>
        <w:shd w:val="clear" w:color="auto" w:fill="FFFFFF"/>
        <w:rPr>
          <w:b/>
          <w:color w:val="222222"/>
        </w:rPr>
      </w:pPr>
      <w:r w:rsidRPr="00CB593D">
        <w:rPr>
          <w:b/>
          <w:color w:val="222222"/>
        </w:rPr>
        <w:t xml:space="preserve">KLASA: 300-01/16-01/6, UR.BROJ: 2212/02-01/16-01-1, od 19.12.2016.g. </w:t>
      </w:r>
    </w:p>
    <w:p w:rsidR="00FC70A4" w:rsidRPr="0094062B" w:rsidRDefault="00FC70A4" w:rsidP="00FC70A4">
      <w:pPr>
        <w:shd w:val="clear" w:color="auto" w:fill="FFFFFF"/>
        <w:rPr>
          <w:b/>
          <w:color w:val="222222"/>
        </w:rPr>
      </w:pPr>
      <w:r w:rsidRPr="00CB593D">
        <w:rPr>
          <w:b/>
          <w:color w:val="222222"/>
        </w:rPr>
        <w:t>objavljeno u Službenom vjesniku Vukovarsko - sri</w:t>
      </w:r>
      <w:r w:rsidRPr="0094062B">
        <w:rPr>
          <w:b/>
          <w:color w:val="222222"/>
        </w:rPr>
        <w:t xml:space="preserve">jemske županije br. 12/16. </w:t>
      </w:r>
    </w:p>
    <w:p w:rsidR="00FC70A4" w:rsidRPr="00CB593D" w:rsidRDefault="00FC70A4" w:rsidP="00FC70A4">
      <w:pPr>
        <w:shd w:val="clear" w:color="auto" w:fill="FFFFFF"/>
        <w:rPr>
          <w:b/>
          <w:color w:val="222222"/>
        </w:rPr>
      </w:pPr>
      <w:r w:rsidRPr="0094062B">
        <w:rPr>
          <w:b/>
          <w:color w:val="222222"/>
        </w:rPr>
        <w:t>Link o</w:t>
      </w:r>
      <w:r w:rsidRPr="00CB593D">
        <w:rPr>
          <w:b/>
          <w:color w:val="222222"/>
        </w:rPr>
        <w:t>bjave:</w:t>
      </w:r>
      <w:r w:rsidRPr="0094062B">
        <w:rPr>
          <w:b/>
          <w:color w:val="222222"/>
        </w:rPr>
        <w:t xml:space="preserve"> </w:t>
      </w:r>
      <w:r w:rsidRPr="00CB593D">
        <w:rPr>
          <w:b/>
          <w:color w:val="222222"/>
        </w:rPr>
        <w:t> </w:t>
      </w:r>
      <w:hyperlink r:id="rId17" w:tgtFrame="_blank" w:history="1">
        <w:r w:rsidRPr="0094062B">
          <w:rPr>
            <w:b/>
            <w:color w:val="1155CC"/>
            <w:u w:val="single"/>
          </w:rPr>
          <w:t>http://babinagreda.hr/akti-opcinskog-vijeca/</w:t>
        </w:r>
      </w:hyperlink>
    </w:p>
    <w:p w:rsidR="00FC70A4" w:rsidRDefault="00FC70A4" w:rsidP="00FC70A4">
      <w:pPr>
        <w:jc w:val="both"/>
      </w:pP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jc w:val="both"/>
      </w:pPr>
      <w:r w:rsidRPr="008A64B2">
        <w:rPr>
          <w:b/>
        </w:rPr>
        <w:t>10. USKLAĐENOST PROJEKTA/OPERACIJE KOJI NE ZAHTIJEVA GRAĐEVINSKU DOZVOLU NITI DRUGI AKT KOJIM SE ODOBRAVA GRAĐENJE S PROSTORNO-PLANSKOM DOKUMENTACIJOM JEDINICE LOKALNE SAMOUPRAVE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(za projekte građenja koji ne zahtijevaju građevinsku dozvolu niti drugi akt kojim se odobrava građenje navesti naziv i stranicu prostorno-planskog dokumenta jedinice lokalne samouprave u kojemu je predviđena provedba takvog projekta/operacije, ukoliko projekt/operacija zahtijeva izradu Glavnog projekta navesti broj mape/knjige/poglavlja/stranice iz Glavnog projekta u kojem projektant dokazuje/izjavljuje da je Glavni projekt u skladu s prostornim planom. ).</w:t>
      </w:r>
    </w:p>
    <w:p w:rsidR="00FC70A4" w:rsidRPr="008A64B2" w:rsidRDefault="00FC70A4" w:rsidP="00FC70A4">
      <w:pPr>
        <w:jc w:val="both"/>
      </w:pPr>
      <w:r w:rsidRPr="008A64B2">
        <w:t>___________________________________________________________________________</w:t>
      </w:r>
    </w:p>
    <w:p w:rsidR="00FC70A4" w:rsidRPr="008A64B2" w:rsidRDefault="00FC70A4" w:rsidP="00FC70A4">
      <w:pPr>
        <w:jc w:val="both"/>
      </w:pPr>
      <w:r w:rsidRPr="008A64B2">
        <w:t>___________________________________________________________________________</w:t>
      </w:r>
    </w:p>
    <w:p w:rsidR="00FC70A4" w:rsidRPr="008A64B2" w:rsidRDefault="00FC70A4" w:rsidP="00FC70A4">
      <w:pPr>
        <w:jc w:val="both"/>
      </w:pPr>
      <w:r w:rsidRPr="008A64B2">
        <w:t>___________________________________________________________________________</w:t>
      </w:r>
    </w:p>
    <w:p w:rsidR="00FC70A4" w:rsidRPr="008A64B2" w:rsidRDefault="00FC70A4" w:rsidP="00FC70A4">
      <w:pPr>
        <w:jc w:val="both"/>
      </w:pPr>
      <w:r w:rsidRPr="008A64B2">
        <w:t>___________________________________________________________________________</w:t>
      </w: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jc w:val="center"/>
        <w:rPr>
          <w:b/>
        </w:rPr>
      </w:pPr>
      <w:r w:rsidRPr="008A64B2">
        <w:rPr>
          <w:b/>
        </w:rPr>
        <w:t>11. IZJAVA KORISNIKA O DOSTUPNOSTI ULAGANJA LOKALNOM STANOVNIŠTVU I RAZLIČITIM INTERESNIM SKUPINAMA</w:t>
      </w:r>
    </w:p>
    <w:p w:rsidR="00FC70A4" w:rsidRPr="008A64B2" w:rsidRDefault="00FC70A4" w:rsidP="00FC70A4">
      <w:pPr>
        <w:jc w:val="center"/>
        <w:rPr>
          <w:b/>
        </w:rPr>
      </w:pPr>
    </w:p>
    <w:p w:rsidR="00FC70A4" w:rsidRPr="008A64B2" w:rsidRDefault="00FC70A4" w:rsidP="00FC70A4">
      <w:pPr>
        <w:jc w:val="both"/>
        <w:rPr>
          <w:i/>
        </w:rPr>
      </w:pPr>
    </w:p>
    <w:p w:rsidR="00FC70A4" w:rsidRPr="008A64B2" w:rsidRDefault="00FC70A4" w:rsidP="00FC70A4">
      <w:pPr>
        <w:spacing w:after="120"/>
        <w:jc w:val="both"/>
        <w:rPr>
          <w:i/>
        </w:rPr>
      </w:pPr>
      <w:r w:rsidRPr="008A64B2">
        <w:rPr>
          <w:i/>
        </w:rPr>
        <w:t>Pojašnjenje: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 xml:space="preserve">- Davatelj Izjave je korisnik podnositelj Zahtjeva za potporu za </w:t>
      </w:r>
      <w:proofErr w:type="spellStart"/>
      <w:r w:rsidRPr="008A64B2">
        <w:rPr>
          <w:i/>
        </w:rPr>
        <w:t>Podmjeru</w:t>
      </w:r>
      <w:proofErr w:type="spellEnd"/>
      <w:r w:rsidRPr="008A64B2">
        <w:rPr>
          <w:i/>
        </w:rPr>
        <w:t xml:space="preserve"> 7.4., Tip operacije 7.4.1.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 xml:space="preserve">- Korisnik se treba u Izjavi obvezati </w:t>
      </w:r>
      <w:r>
        <w:rPr>
          <w:i/>
        </w:rPr>
        <w:t xml:space="preserve">te treba </w:t>
      </w:r>
      <w:r w:rsidRPr="008A64B2">
        <w:rPr>
          <w:i/>
        </w:rPr>
        <w:t>izjaviti da će planirano ulaganje biti dostupno lokalnom stanovništvu i različitim interesnim skupinama.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- U Izjavi je potrebno nabrojiti interesne skupine krajnje korisnike projekta/operacije.</w:t>
      </w:r>
    </w:p>
    <w:p w:rsidR="00FC70A4" w:rsidRPr="008A64B2" w:rsidRDefault="00FC70A4" w:rsidP="00FC70A4">
      <w:pPr>
        <w:jc w:val="both"/>
        <w:rPr>
          <w:i/>
        </w:rPr>
      </w:pPr>
      <w:r w:rsidRPr="008A64B2">
        <w:rPr>
          <w:i/>
        </w:rPr>
        <w:t>- Izjava mora biti potpisana i ovjerena od strane korisnika.</w:t>
      </w:r>
    </w:p>
    <w:p w:rsidR="00FC70A4" w:rsidRPr="008A64B2" w:rsidRDefault="00FC70A4" w:rsidP="00FC70A4">
      <w:pPr>
        <w:jc w:val="both"/>
      </w:pPr>
    </w:p>
    <w:p w:rsidR="00FC70A4" w:rsidRPr="00A76F8C" w:rsidRDefault="00FC70A4" w:rsidP="00FC70A4">
      <w:pPr>
        <w:jc w:val="both"/>
        <w:rPr>
          <w:b/>
        </w:rPr>
      </w:pPr>
      <w:r w:rsidRPr="00A76F8C">
        <w:rPr>
          <w:b/>
        </w:rPr>
        <w:t xml:space="preserve">Izjavljujem da će planirano ulaganje biti dostupno lokalnom stanovništvu i različitim interesnim skupinama  kao npr. </w:t>
      </w:r>
      <w:r>
        <w:rPr>
          <w:b/>
        </w:rPr>
        <w:t xml:space="preserve">članovima lovačkih udruga, </w:t>
      </w:r>
      <w:r w:rsidRPr="00A76F8C">
        <w:rPr>
          <w:b/>
        </w:rPr>
        <w:t xml:space="preserve">članovima </w:t>
      </w:r>
      <w:r>
        <w:rPr>
          <w:b/>
        </w:rPr>
        <w:t>sportskih streljačkih klubova</w:t>
      </w:r>
      <w:r w:rsidRPr="00A76F8C">
        <w:rPr>
          <w:b/>
        </w:rPr>
        <w:t xml:space="preserve">; </w:t>
      </w:r>
      <w:r>
        <w:rPr>
          <w:b/>
        </w:rPr>
        <w:t xml:space="preserve">natjecateljima u streljaštvu; službama čiji pripadnici moraju biti osposobljeni za rukovanje oružjem </w:t>
      </w:r>
      <w:r w:rsidRPr="00A76F8C">
        <w:rPr>
          <w:b/>
        </w:rPr>
        <w:t>te svim stanovnicima općine koji se žele aktivno ili rekreativno baviti sportom.</w:t>
      </w: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jc w:val="both"/>
      </w:pPr>
      <w:r w:rsidRPr="008A64B2">
        <w:t>Datum:</w:t>
      </w:r>
      <w:r w:rsidRPr="008A64B2">
        <w:tab/>
      </w:r>
      <w:r w:rsidRPr="008A64B2">
        <w:tab/>
      </w:r>
      <w:r w:rsidRPr="008A64B2">
        <w:tab/>
      </w:r>
      <w:r w:rsidRPr="008A64B2">
        <w:tab/>
      </w:r>
      <w:r w:rsidRPr="008A64B2">
        <w:tab/>
      </w:r>
      <w:r w:rsidRPr="008A64B2">
        <w:tab/>
      </w:r>
      <w:r w:rsidRPr="008A64B2">
        <w:tab/>
        <w:t>Potpis i pečat:</w:t>
      </w:r>
    </w:p>
    <w:p w:rsidR="00FC70A4" w:rsidRPr="008A64B2" w:rsidRDefault="00FC70A4" w:rsidP="00FC70A4">
      <w:pPr>
        <w:jc w:val="both"/>
      </w:pPr>
    </w:p>
    <w:p w:rsidR="00FC70A4" w:rsidRPr="008A64B2" w:rsidRDefault="00FC70A4" w:rsidP="00FC70A4">
      <w:pPr>
        <w:jc w:val="both"/>
      </w:pPr>
      <w:r w:rsidRPr="008A64B2">
        <w:t>__________________________</w:t>
      </w:r>
      <w:r w:rsidRPr="008A64B2">
        <w:tab/>
      </w:r>
      <w:r w:rsidRPr="008A64B2">
        <w:tab/>
      </w:r>
      <w:r w:rsidRPr="008A64B2">
        <w:tab/>
      </w:r>
      <w:r w:rsidRPr="008A64B2">
        <w:tab/>
        <w:t>__________________________</w:t>
      </w:r>
    </w:p>
    <w:p w:rsidR="00FC70A4" w:rsidRDefault="00FC70A4" w:rsidP="00FC70A4">
      <w:pPr>
        <w:jc w:val="both"/>
      </w:pPr>
      <w:bookmarkStart w:id="0" w:name="_GoBack"/>
      <w:bookmarkEnd w:id="0"/>
    </w:p>
    <w:p w:rsidR="00FC70A4" w:rsidRDefault="00FC70A4" w:rsidP="004B0732">
      <w:pPr>
        <w:ind w:left="5664" w:firstLine="708"/>
        <w:jc w:val="both"/>
      </w:pPr>
    </w:p>
    <w:p w:rsidR="00FC70A4" w:rsidRDefault="00FC70A4" w:rsidP="004B0732">
      <w:pPr>
        <w:ind w:left="5664" w:firstLine="708"/>
        <w:jc w:val="both"/>
      </w:pPr>
    </w:p>
    <w:p w:rsidR="00FC70A4" w:rsidRDefault="00FC70A4" w:rsidP="004B0732">
      <w:pPr>
        <w:ind w:left="5664" w:firstLine="708"/>
        <w:jc w:val="both"/>
      </w:pPr>
    </w:p>
    <w:p w:rsidR="00FC70A4" w:rsidRDefault="00FC70A4" w:rsidP="004B0732">
      <w:pPr>
        <w:ind w:left="5664" w:firstLine="708"/>
        <w:jc w:val="both"/>
      </w:pPr>
    </w:p>
    <w:p w:rsidR="00FC70A4" w:rsidRDefault="00FC70A4" w:rsidP="004B0732">
      <w:pPr>
        <w:ind w:left="5664" w:firstLine="708"/>
        <w:jc w:val="both"/>
      </w:pPr>
    </w:p>
    <w:p w:rsidR="00FC70A4" w:rsidRPr="00C93D6B" w:rsidRDefault="00FC70A4" w:rsidP="004B0732">
      <w:pPr>
        <w:ind w:left="5664" w:firstLine="708"/>
        <w:jc w:val="both"/>
      </w:pPr>
    </w:p>
    <w:sectPr w:rsidR="00FC70A4" w:rsidRPr="00C93D6B" w:rsidSect="00EC765C">
      <w:headerReference w:type="default" r:id="rId18"/>
      <w:footerReference w:type="defaul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9A" w:rsidRDefault="000E279A" w:rsidP="00A742C8">
      <w:r>
        <w:separator/>
      </w:r>
    </w:p>
  </w:endnote>
  <w:endnote w:type="continuationSeparator" w:id="0">
    <w:p w:rsidR="000E279A" w:rsidRDefault="000E279A" w:rsidP="00A7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381074"/>
      <w:docPartObj>
        <w:docPartGallery w:val="Page Numbers (Bottom of Page)"/>
        <w:docPartUnique/>
      </w:docPartObj>
    </w:sdtPr>
    <w:sdtEndPr/>
    <w:sdtContent>
      <w:p w:rsidR="00FC70A4" w:rsidRDefault="00FC70A4" w:rsidP="00FC70A4">
        <w:pPr>
          <w:pStyle w:val="Podnoje"/>
        </w:pPr>
      </w:p>
      <w:p w:rsidR="00A742C8" w:rsidRDefault="000E279A">
        <w:pPr>
          <w:pStyle w:val="Podnoje"/>
          <w:jc w:val="right"/>
        </w:pPr>
      </w:p>
    </w:sdtContent>
  </w:sdt>
  <w:p w:rsidR="00A742C8" w:rsidRDefault="00A742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9A" w:rsidRDefault="000E279A" w:rsidP="00A742C8">
      <w:r>
        <w:separator/>
      </w:r>
    </w:p>
  </w:footnote>
  <w:footnote w:type="continuationSeparator" w:id="0">
    <w:p w:rsidR="000E279A" w:rsidRDefault="000E279A" w:rsidP="00A7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32" w:rsidRDefault="004B0732" w:rsidP="004B0732">
    <w:pPr>
      <w:pStyle w:val="Zaglavlje"/>
      <w:jc w:val="center"/>
    </w:pPr>
    <w:r w:rsidRPr="004B0732">
      <w:rPr>
        <w:noProof/>
        <w:lang w:val="hr-HR" w:eastAsia="hr-HR"/>
      </w:rPr>
      <w:drawing>
        <wp:inline distT="0" distB="0" distL="0" distR="0">
          <wp:extent cx="314325" cy="409575"/>
          <wp:effectExtent l="0" t="0" r="9525" b="9525"/>
          <wp:docPr id="1" name="Slika 1" descr="C:\P O S A O\RAZNO\Razno 2014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4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448" w:rsidRPr="004B0732" w:rsidRDefault="00303448" w:rsidP="004B073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65B"/>
    <w:multiLevelType w:val="hybridMultilevel"/>
    <w:tmpl w:val="A7169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D5A"/>
    <w:multiLevelType w:val="hybridMultilevel"/>
    <w:tmpl w:val="FFD88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681"/>
    <w:multiLevelType w:val="hybridMultilevel"/>
    <w:tmpl w:val="0DBE86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3D44"/>
    <w:multiLevelType w:val="hybridMultilevel"/>
    <w:tmpl w:val="47EED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64"/>
    <w:rsid w:val="00024076"/>
    <w:rsid w:val="00042CC0"/>
    <w:rsid w:val="0005079D"/>
    <w:rsid w:val="00051F4A"/>
    <w:rsid w:val="000A60F7"/>
    <w:rsid w:val="000C5D1A"/>
    <w:rsid w:val="000E0C4E"/>
    <w:rsid w:val="000E279A"/>
    <w:rsid w:val="000E7DF4"/>
    <w:rsid w:val="000F4502"/>
    <w:rsid w:val="00125CB4"/>
    <w:rsid w:val="001A14F2"/>
    <w:rsid w:val="001C3EFB"/>
    <w:rsid w:val="001D7951"/>
    <w:rsid w:val="001E7008"/>
    <w:rsid w:val="002B7082"/>
    <w:rsid w:val="00303448"/>
    <w:rsid w:val="00364FF9"/>
    <w:rsid w:val="003912E2"/>
    <w:rsid w:val="00394117"/>
    <w:rsid w:val="003C28E7"/>
    <w:rsid w:val="00430246"/>
    <w:rsid w:val="004666A8"/>
    <w:rsid w:val="004B0732"/>
    <w:rsid w:val="004B1B0C"/>
    <w:rsid w:val="004B7694"/>
    <w:rsid w:val="004E7987"/>
    <w:rsid w:val="005206F3"/>
    <w:rsid w:val="0053547A"/>
    <w:rsid w:val="00561AB4"/>
    <w:rsid w:val="00566945"/>
    <w:rsid w:val="005B6994"/>
    <w:rsid w:val="005F6415"/>
    <w:rsid w:val="00642575"/>
    <w:rsid w:val="0064613E"/>
    <w:rsid w:val="00665D68"/>
    <w:rsid w:val="00667AE4"/>
    <w:rsid w:val="00694249"/>
    <w:rsid w:val="0069753D"/>
    <w:rsid w:val="006D63AD"/>
    <w:rsid w:val="00727D64"/>
    <w:rsid w:val="0073697E"/>
    <w:rsid w:val="00737C2F"/>
    <w:rsid w:val="00746055"/>
    <w:rsid w:val="00746DDE"/>
    <w:rsid w:val="00773960"/>
    <w:rsid w:val="007E7B1D"/>
    <w:rsid w:val="00802D0D"/>
    <w:rsid w:val="008200E2"/>
    <w:rsid w:val="008526CF"/>
    <w:rsid w:val="00873B9C"/>
    <w:rsid w:val="00891A78"/>
    <w:rsid w:val="00903F55"/>
    <w:rsid w:val="00961662"/>
    <w:rsid w:val="00965FA5"/>
    <w:rsid w:val="009736B5"/>
    <w:rsid w:val="00974E6F"/>
    <w:rsid w:val="00976AB8"/>
    <w:rsid w:val="009A204F"/>
    <w:rsid w:val="009D75F5"/>
    <w:rsid w:val="009F0BB1"/>
    <w:rsid w:val="009F5CAC"/>
    <w:rsid w:val="00A13DF6"/>
    <w:rsid w:val="00A53F54"/>
    <w:rsid w:val="00A5735B"/>
    <w:rsid w:val="00A742C8"/>
    <w:rsid w:val="00A76B9B"/>
    <w:rsid w:val="00A90522"/>
    <w:rsid w:val="00AA11B0"/>
    <w:rsid w:val="00AA75F4"/>
    <w:rsid w:val="00AC2981"/>
    <w:rsid w:val="00B37A4F"/>
    <w:rsid w:val="00C0134A"/>
    <w:rsid w:val="00C52F99"/>
    <w:rsid w:val="00C5351D"/>
    <w:rsid w:val="00C637DA"/>
    <w:rsid w:val="00C829E7"/>
    <w:rsid w:val="00C85BD6"/>
    <w:rsid w:val="00C93D6B"/>
    <w:rsid w:val="00CB6064"/>
    <w:rsid w:val="00D008E8"/>
    <w:rsid w:val="00D81F7A"/>
    <w:rsid w:val="00D8340F"/>
    <w:rsid w:val="00DC4831"/>
    <w:rsid w:val="00DC7C6A"/>
    <w:rsid w:val="00E0438D"/>
    <w:rsid w:val="00E31C49"/>
    <w:rsid w:val="00E3778B"/>
    <w:rsid w:val="00E40D8F"/>
    <w:rsid w:val="00E451DF"/>
    <w:rsid w:val="00E60FD8"/>
    <w:rsid w:val="00E62D2F"/>
    <w:rsid w:val="00EC765C"/>
    <w:rsid w:val="00EC7F7B"/>
    <w:rsid w:val="00ED18B6"/>
    <w:rsid w:val="00EE0A5F"/>
    <w:rsid w:val="00EE4929"/>
    <w:rsid w:val="00F7544F"/>
    <w:rsid w:val="00FC70A4"/>
    <w:rsid w:val="00FD328E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D0B334-CF77-4039-A071-D61EED2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727D64"/>
    <w:rPr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27D64"/>
    <w:pPr>
      <w:shd w:val="clear" w:color="auto" w:fill="FFFFFF"/>
      <w:spacing w:line="235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249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-8">
    <w:name w:val="t-9-8"/>
    <w:basedOn w:val="Normal"/>
    <w:rsid w:val="009F5CAC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E0438D"/>
    <w:rPr>
      <w:color w:val="0563C1" w:themeColor="hyperlink"/>
      <w:u w:val="single"/>
    </w:rPr>
  </w:style>
  <w:style w:type="paragraph" w:customStyle="1" w:styleId="t-11-9-sred">
    <w:name w:val="t-11-9-sred"/>
    <w:basedOn w:val="Normal"/>
    <w:rsid w:val="00802D0D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802D0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D8340F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834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ak">
    <w:name w:val="clanak"/>
    <w:basedOn w:val="Normal"/>
    <w:rsid w:val="00D8340F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unhideWhenUsed/>
    <w:rsid w:val="00A742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2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FC70A4"/>
    <w:pPr>
      <w:overflowPunct w:val="0"/>
      <w:autoSpaceDE w:val="0"/>
      <w:autoSpaceDN w:val="0"/>
      <w:adjustRightInd w:val="0"/>
      <w:jc w:val="both"/>
      <w:textAlignment w:val="baseline"/>
    </w:pPr>
    <w:rPr>
      <w:rFonts w:ascii="Trebuchet MS" w:hAnsi="Trebuchet MS"/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C70A4"/>
    <w:rPr>
      <w:rFonts w:ascii="Trebuchet MS" w:eastAsia="Times New Roman" w:hAnsi="Trebuchet MS" w:cs="Times New Roman"/>
      <w:szCs w:val="20"/>
      <w:lang w:eastAsia="hr-HR"/>
    </w:rPr>
  </w:style>
  <w:style w:type="paragraph" w:customStyle="1" w:styleId="box454034">
    <w:name w:val="box_454034"/>
    <w:basedOn w:val="Normal"/>
    <w:rsid w:val="00FC70A4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FC70A4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FC7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C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abinagreda.hr" TargetMode="External"/><Relationship Id="rId17" Type="http://schemas.openxmlformats.org/officeDocument/2006/relationships/hyperlink" Target="http://babinagreda.hr/akti-opcinskog-vijec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uroauto.babinagred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binagreda.hr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hyperlink" Target="http://www.babinagreda.h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57B3-442E-4BEB-B6C1-BCA8A00F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26</Pages>
  <Words>7398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89</cp:revision>
  <cp:lastPrinted>2017-03-21T07:08:00Z</cp:lastPrinted>
  <dcterms:created xsi:type="dcterms:W3CDTF">2017-03-21T07:46:00Z</dcterms:created>
  <dcterms:modified xsi:type="dcterms:W3CDTF">2017-04-19T11:16:00Z</dcterms:modified>
</cp:coreProperties>
</file>