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firstLine="720" w:firstLineChars="300"/>
        <w:rPr>
          <w:lang w:val="hr-HR"/>
        </w:rPr>
      </w:pPr>
      <w:r>
        <w:rPr>
          <w:lang w:val="hr-HR"/>
        </w:rPr>
        <w:t>REP</w:t>
      </w:r>
      <w:r>
        <w:rPr>
          <w:rFonts w:hint="default"/>
          <w:lang w:val="hr-HR"/>
        </w:rPr>
        <w:t>U</w:t>
      </w:r>
      <w:r>
        <w:rPr>
          <w:lang w:val="hr-HR"/>
        </w:rPr>
        <w:t>BLIKA HRVATSKA</w:t>
      </w:r>
      <w:r>
        <w:rPr>
          <w:lang w:val="hr-HR"/>
        </w:rPr>
        <w:br w:type="textWrapping"/>
      </w:r>
      <w:r>
        <w:rPr>
          <w:lang w:val="hr-HR"/>
        </w:rPr>
        <w:t>VUKOVARSKO-SRIJEMSKA ŽUPANIJA</w:t>
      </w:r>
    </w:p>
    <w:p>
      <w:pPr>
        <w:pStyle w:val="11"/>
        <w:ind w:firstLine="720" w:firstLineChars="300"/>
        <w:jc w:val="both"/>
        <w:rPr>
          <w:lang w:val="hr-HR"/>
        </w:rPr>
      </w:pPr>
      <w:r>
        <w:rPr>
          <w:lang w:val="hr-HR"/>
        </w:rPr>
        <w:t>OPĆINA BABINA GREDA</w:t>
      </w:r>
    </w:p>
    <w:p>
      <w:pPr>
        <w:pStyle w:val="11"/>
        <w:ind w:firstLine="1080" w:firstLineChars="450"/>
        <w:jc w:val="both"/>
        <w:rPr>
          <w:lang w:val="hr-HR"/>
        </w:rPr>
      </w:pPr>
      <w:r>
        <w:rPr>
          <w:lang w:val="hr-HR"/>
        </w:rPr>
        <w:t>OPĆINSKO VIJEĆE</w:t>
      </w:r>
    </w:p>
    <w:p>
      <w:pPr>
        <w:pStyle w:val="11"/>
        <w:jc w:val="both"/>
        <w:rPr>
          <w:rFonts w:hint="default"/>
          <w:lang w:val="hr-HR"/>
        </w:rPr>
      </w:pPr>
      <w:r>
        <w:rPr>
          <w:lang w:val="hr-HR"/>
        </w:rPr>
        <w:t>KLASA: 61</w:t>
      </w:r>
      <w:r>
        <w:rPr>
          <w:rFonts w:hint="default"/>
          <w:lang w:val="hr-HR"/>
        </w:rPr>
        <w:t>1</w:t>
      </w:r>
      <w:r>
        <w:rPr>
          <w:lang w:val="hr-HR"/>
        </w:rPr>
        <w:t>-0</w:t>
      </w:r>
      <w:r>
        <w:rPr>
          <w:rFonts w:hint="default"/>
          <w:lang w:val="hr-HR"/>
        </w:rPr>
        <w:t>1</w:t>
      </w:r>
      <w:r>
        <w:rPr>
          <w:lang w:val="hr-HR"/>
        </w:rPr>
        <w:t>/2</w:t>
      </w:r>
      <w:r>
        <w:rPr>
          <w:rFonts w:hint="default"/>
          <w:lang w:val="hr-HR"/>
        </w:rPr>
        <w:t>2</w:t>
      </w:r>
      <w:r>
        <w:rPr>
          <w:lang w:val="hr-HR"/>
        </w:rPr>
        <w:t>-01/</w:t>
      </w:r>
      <w:r>
        <w:rPr>
          <w:rFonts w:hint="default"/>
          <w:lang w:val="hr-HR"/>
        </w:rPr>
        <w:t>4</w:t>
      </w:r>
      <w:bookmarkStart w:id="0" w:name="_GoBack"/>
      <w:bookmarkEnd w:id="0"/>
    </w:p>
    <w:p>
      <w:pPr>
        <w:pStyle w:val="11"/>
        <w:jc w:val="both"/>
        <w:rPr>
          <w:rFonts w:hint="default"/>
          <w:lang w:val="hr-HR"/>
        </w:rPr>
      </w:pPr>
      <w:r>
        <w:rPr>
          <w:lang w:val="hr-HR"/>
        </w:rPr>
        <w:t>URBROJ: 2</w:t>
      </w:r>
      <w:r>
        <w:rPr>
          <w:rFonts w:hint="default"/>
          <w:lang w:val="hr-HR"/>
        </w:rPr>
        <w:t>196-7-01-22-1</w:t>
      </w:r>
    </w:p>
    <w:p>
      <w:pPr>
        <w:pStyle w:val="11"/>
        <w:jc w:val="both"/>
        <w:rPr>
          <w:lang w:val="hr-HR"/>
        </w:rPr>
      </w:pPr>
      <w:r>
        <w:rPr>
          <w:lang w:val="hr-HR"/>
        </w:rPr>
        <w:t>Babina Greda, 2</w:t>
      </w:r>
      <w:r>
        <w:rPr>
          <w:rFonts w:hint="default"/>
          <w:lang w:val="hr-HR"/>
        </w:rPr>
        <w:t>6</w:t>
      </w:r>
      <w:r>
        <w:rPr>
          <w:lang w:val="hr-HR"/>
        </w:rPr>
        <w:t>. veljače, 202</w:t>
      </w:r>
      <w:r>
        <w:rPr>
          <w:rFonts w:hint="default"/>
          <w:lang w:val="hr-HR"/>
        </w:rPr>
        <w:t>2</w:t>
      </w:r>
      <w:r>
        <w:rPr>
          <w:lang w:val="hr-HR"/>
        </w:rPr>
        <w:t>.  godine</w:t>
      </w:r>
    </w:p>
    <w:p>
      <w:pPr>
        <w:pStyle w:val="11"/>
        <w:jc w:val="both"/>
        <w:rPr>
          <w:lang w:val="hr-HR"/>
        </w:rPr>
      </w:pPr>
    </w:p>
    <w:p>
      <w:pPr>
        <w:pStyle w:val="11"/>
        <w:jc w:val="both"/>
        <w:rPr>
          <w:lang w:val="hr-HR"/>
        </w:rPr>
      </w:pPr>
    </w:p>
    <w:p>
      <w:pPr>
        <w:pStyle w:val="11"/>
        <w:jc w:val="both"/>
        <w:rPr>
          <w:lang w:val="hr-HR"/>
        </w:rPr>
      </w:pPr>
    </w:p>
    <w:p>
      <w:pPr>
        <w:pStyle w:val="11"/>
        <w:jc w:val="both"/>
        <w:rPr>
          <w:lang w:val="hr-HR"/>
        </w:rPr>
      </w:pPr>
      <w:r>
        <w:rPr>
          <w:lang w:val="hr-HR"/>
        </w:rPr>
        <w:t xml:space="preserve">Na temelju članka 18. Statuta Općine Babina Greda </w:t>
      </w:r>
      <w:r>
        <w:rPr>
          <w:bCs/>
          <w:lang w:eastAsia="hr-HR"/>
        </w:rPr>
        <w:t>(„Sl. Vjesnik Vukovarsko-srijemske županije“ br. 11/09,04/13, 03/14, 01/18, 13/18, 27/18, pročišćeni tekst, 21A/19</w:t>
      </w:r>
      <w:r>
        <w:rPr>
          <w:rFonts w:hint="default"/>
          <w:bCs/>
          <w:lang w:val="en-US" w:eastAsia="hr-HR"/>
        </w:rPr>
        <w:t xml:space="preserve">, </w:t>
      </w:r>
      <w:r>
        <w:rPr>
          <w:bCs/>
          <w:lang w:eastAsia="hr-HR"/>
        </w:rPr>
        <w:t>03/20</w:t>
      </w:r>
      <w:r>
        <w:rPr>
          <w:rFonts w:hint="default"/>
          <w:bCs/>
          <w:lang w:val="en-US" w:eastAsia="hr-HR"/>
        </w:rPr>
        <w:t xml:space="preserve"> i 04/21</w:t>
      </w:r>
      <w:r>
        <w:rPr>
          <w:bCs/>
          <w:lang w:eastAsia="hr-HR"/>
        </w:rPr>
        <w:t xml:space="preserve">) i </w:t>
      </w:r>
      <w:r>
        <w:rPr>
          <w:bCs/>
        </w:rPr>
        <w:t>članka 45. Poslovnika o radu Općinskog vijeća Općine Babina Greda („Sl.</w:t>
      </w:r>
      <w:r>
        <w:rPr>
          <w:rFonts w:hint="default"/>
          <w:bCs/>
          <w:lang w:val="hr-HR"/>
        </w:rPr>
        <w:t xml:space="preserve"> </w:t>
      </w:r>
      <w:r>
        <w:rPr>
          <w:bCs/>
        </w:rPr>
        <w:t>Vjesnik Vukovarsko-srijemske županije“ br. 16/09</w:t>
      </w:r>
      <w:r>
        <w:rPr>
          <w:rFonts w:hint="default"/>
          <w:bCs/>
          <w:lang w:val="hr-HR"/>
        </w:rPr>
        <w:t xml:space="preserve">, </w:t>
      </w:r>
      <w:r>
        <w:rPr>
          <w:bCs/>
        </w:rPr>
        <w:t>01/18</w:t>
      </w:r>
      <w:r>
        <w:rPr>
          <w:rFonts w:hint="default"/>
          <w:bCs/>
          <w:lang w:val="hr-HR"/>
        </w:rPr>
        <w:t xml:space="preserve"> i 04/21</w:t>
      </w:r>
      <w:r>
        <w:rPr>
          <w:bCs/>
        </w:rPr>
        <w:t>)</w:t>
      </w:r>
      <w:r>
        <w:rPr>
          <w:lang w:val="hr-HR"/>
        </w:rPr>
        <w:t xml:space="preserve"> na </w:t>
      </w:r>
      <w:r>
        <w:rPr>
          <w:rFonts w:hint="default"/>
          <w:lang w:val="hr-HR"/>
        </w:rPr>
        <w:t>08</w:t>
      </w:r>
      <w:r>
        <w:rPr>
          <w:lang w:val="hr-HR"/>
        </w:rPr>
        <w:t xml:space="preserve">. sjednici održanoj dana </w:t>
      </w:r>
      <w:r>
        <w:rPr>
          <w:lang w:val="hr-HR"/>
        </w:rPr>
        <w:br w:type="textWrapping"/>
      </w:r>
      <w:r>
        <w:rPr>
          <w:lang w:val="hr-HR"/>
        </w:rPr>
        <w:t>2</w:t>
      </w:r>
      <w:r>
        <w:rPr>
          <w:rFonts w:hint="default"/>
          <w:lang w:val="hr-HR"/>
        </w:rPr>
        <w:t>6</w:t>
      </w:r>
      <w:r>
        <w:rPr>
          <w:lang w:val="hr-HR"/>
        </w:rPr>
        <w:t>. veljače, 202</w:t>
      </w:r>
      <w:r>
        <w:rPr>
          <w:rFonts w:hint="default"/>
          <w:lang w:val="hr-HR"/>
        </w:rPr>
        <w:t>2</w:t>
      </w:r>
      <w:r>
        <w:rPr>
          <w:lang w:val="hr-HR"/>
        </w:rPr>
        <w:t>. godine,  Općinsko vijeće Općine Babina Greda, donijelo je</w:t>
      </w:r>
    </w:p>
    <w:p>
      <w:pPr>
        <w:pStyle w:val="11"/>
        <w:jc w:val="both"/>
        <w:rPr>
          <w:lang w:val="hr-HR"/>
        </w:rPr>
      </w:pPr>
    </w:p>
    <w:p>
      <w:pPr>
        <w:pStyle w:val="11"/>
        <w:jc w:val="both"/>
        <w:rPr>
          <w:lang w:val="hr-HR"/>
        </w:rPr>
      </w:pPr>
      <w:r>
        <w:rPr>
          <w:lang w:val="hr-HR"/>
        </w:rPr>
        <w:t xml:space="preserve">                                      </w:t>
      </w:r>
    </w:p>
    <w:p>
      <w:pPr>
        <w:pStyle w:val="11"/>
        <w:jc w:val="center"/>
        <w:rPr>
          <w:lang w:val="hr-HR"/>
        </w:rPr>
      </w:pPr>
      <w:r>
        <w:rPr>
          <w:lang w:val="hr-HR"/>
        </w:rPr>
        <w:t>O</w:t>
      </w:r>
      <w:r>
        <w:rPr>
          <w:rFonts w:hint="default"/>
          <w:lang w:val="hr-HR"/>
        </w:rPr>
        <w:t xml:space="preserve"> </w:t>
      </w:r>
      <w:r>
        <w:rPr>
          <w:lang w:val="hr-HR"/>
        </w:rPr>
        <w:t>D</w:t>
      </w:r>
      <w:r>
        <w:rPr>
          <w:rFonts w:hint="default"/>
          <w:lang w:val="hr-HR"/>
        </w:rPr>
        <w:t xml:space="preserve"> </w:t>
      </w:r>
      <w:r>
        <w:rPr>
          <w:lang w:val="hr-HR"/>
        </w:rPr>
        <w:t>L</w:t>
      </w:r>
      <w:r>
        <w:rPr>
          <w:rFonts w:hint="default"/>
          <w:lang w:val="hr-HR"/>
        </w:rPr>
        <w:t xml:space="preserve"> </w:t>
      </w:r>
      <w:r>
        <w:rPr>
          <w:lang w:val="hr-HR"/>
        </w:rPr>
        <w:t>U</w:t>
      </w:r>
      <w:r>
        <w:rPr>
          <w:rFonts w:hint="default"/>
          <w:lang w:val="hr-HR"/>
        </w:rPr>
        <w:t xml:space="preserve"> </w:t>
      </w:r>
      <w:r>
        <w:rPr>
          <w:lang w:val="hr-HR"/>
        </w:rPr>
        <w:t>K</w:t>
      </w:r>
      <w:r>
        <w:rPr>
          <w:rFonts w:hint="default"/>
          <w:lang w:val="hr-HR"/>
        </w:rPr>
        <w:t xml:space="preserve"> </w:t>
      </w:r>
      <w:r>
        <w:rPr>
          <w:lang w:val="hr-HR"/>
        </w:rPr>
        <w:t xml:space="preserve">U </w:t>
      </w:r>
    </w:p>
    <w:p>
      <w:pPr>
        <w:pStyle w:val="11"/>
        <w:jc w:val="center"/>
        <w:rPr>
          <w:lang w:val="hr-HR"/>
        </w:rPr>
      </w:pPr>
      <w:r>
        <w:rPr>
          <w:lang w:val="hr-HR"/>
        </w:rPr>
        <w:t>o suglasnosti za</w:t>
      </w:r>
      <w:r>
        <w:rPr>
          <w:rFonts w:hint="default"/>
          <w:lang w:val="hr-HR"/>
        </w:rPr>
        <w:t xml:space="preserve"> Plan klasifikacijskih oznaka i brojčanih oznaka stvaratelja i primalaca akata </w:t>
      </w:r>
      <w:r>
        <w:rPr>
          <w:lang w:val="hr-HR"/>
        </w:rPr>
        <w:t>Općinske narodne knjižnice Babina Greda</w:t>
      </w:r>
    </w:p>
    <w:p>
      <w:pPr>
        <w:pStyle w:val="11"/>
        <w:jc w:val="both"/>
        <w:rPr>
          <w:lang w:val="hr-HR"/>
        </w:rPr>
      </w:pPr>
    </w:p>
    <w:p>
      <w:pPr>
        <w:pStyle w:val="11"/>
        <w:jc w:val="both"/>
        <w:rPr>
          <w:lang w:val="hr-HR"/>
        </w:rPr>
      </w:pPr>
    </w:p>
    <w:p>
      <w:pPr>
        <w:pStyle w:val="11"/>
        <w:jc w:val="center"/>
        <w:rPr>
          <w:lang w:val="hr-HR"/>
        </w:rPr>
      </w:pPr>
      <w:r>
        <w:rPr>
          <w:lang w:val="hr-HR"/>
        </w:rPr>
        <w:t>I.</w:t>
      </w:r>
    </w:p>
    <w:p>
      <w:pPr>
        <w:pStyle w:val="11"/>
        <w:jc w:val="both"/>
        <w:rPr>
          <w:lang w:val="hr-HR"/>
        </w:rPr>
      </w:pPr>
    </w:p>
    <w:p>
      <w:pPr>
        <w:pStyle w:val="11"/>
        <w:ind w:firstLine="720" w:firstLineChars="0"/>
        <w:jc w:val="both"/>
        <w:rPr>
          <w:lang w:val="hr-HR"/>
        </w:rPr>
      </w:pPr>
      <w:r>
        <w:rPr>
          <w:lang w:val="hr-HR"/>
        </w:rPr>
        <w:t xml:space="preserve">Daje se suglasnost </w:t>
      </w:r>
      <w:r>
        <w:rPr>
          <w:rFonts w:hint="default"/>
          <w:lang w:val="hr-HR"/>
        </w:rPr>
        <w:t>na Plan klasifikacijskih oznaka i brojčanih oznaka stvaratelja i primalaca akata Općinske narodne knjižnice Babina Greda</w:t>
      </w:r>
      <w:r>
        <w:rPr>
          <w:lang w:val="hr-HR"/>
        </w:rPr>
        <w:t>.</w:t>
      </w:r>
    </w:p>
    <w:p>
      <w:pPr>
        <w:pStyle w:val="11"/>
        <w:jc w:val="both"/>
        <w:rPr>
          <w:lang w:val="hr-HR"/>
        </w:rPr>
      </w:pPr>
    </w:p>
    <w:p>
      <w:pPr>
        <w:pStyle w:val="11"/>
        <w:jc w:val="center"/>
        <w:rPr>
          <w:lang w:val="hr-HR"/>
        </w:rPr>
      </w:pPr>
      <w:r>
        <w:rPr>
          <w:lang w:val="hr-HR"/>
        </w:rPr>
        <w:t>II.</w:t>
      </w:r>
    </w:p>
    <w:p>
      <w:pPr>
        <w:pStyle w:val="11"/>
        <w:jc w:val="both"/>
        <w:rPr>
          <w:lang w:val="hr-HR"/>
        </w:rPr>
      </w:pPr>
    </w:p>
    <w:p>
      <w:pPr>
        <w:pStyle w:val="11"/>
        <w:ind w:firstLine="720" w:firstLineChars="0"/>
        <w:jc w:val="both"/>
        <w:rPr>
          <w:lang w:val="hr-HR"/>
        </w:rPr>
      </w:pPr>
      <w:r>
        <w:rPr>
          <w:rFonts w:hint="default"/>
          <w:lang w:val="hr-HR"/>
        </w:rPr>
        <w:t>Plan klasifikacijskih oznaka i brojčanih oznaka stvaratelja i primalaca akata</w:t>
      </w:r>
      <w:r>
        <w:rPr>
          <w:lang w:val="hr-HR"/>
        </w:rPr>
        <w:t>, čini sastavni dio ove Odluke.</w:t>
      </w:r>
    </w:p>
    <w:p>
      <w:pPr>
        <w:pStyle w:val="11"/>
        <w:jc w:val="both"/>
        <w:rPr>
          <w:lang w:val="hr-HR"/>
        </w:rPr>
      </w:pPr>
    </w:p>
    <w:p>
      <w:pPr>
        <w:pStyle w:val="11"/>
        <w:jc w:val="both"/>
        <w:rPr>
          <w:lang w:val="hr-HR"/>
        </w:rPr>
      </w:pPr>
    </w:p>
    <w:p>
      <w:pPr>
        <w:pStyle w:val="11"/>
        <w:jc w:val="center"/>
        <w:rPr>
          <w:lang w:val="hr-HR"/>
        </w:rPr>
      </w:pPr>
      <w:r>
        <w:rPr>
          <w:lang w:val="hr-HR"/>
        </w:rPr>
        <w:t>III.</w:t>
      </w:r>
    </w:p>
    <w:p>
      <w:pPr>
        <w:pStyle w:val="11"/>
        <w:jc w:val="both"/>
        <w:rPr>
          <w:lang w:val="hr-HR"/>
        </w:rPr>
      </w:pPr>
    </w:p>
    <w:p>
      <w:pPr>
        <w:pStyle w:val="11"/>
        <w:ind w:firstLine="720" w:firstLineChars="0"/>
        <w:jc w:val="both"/>
        <w:rPr>
          <w:rFonts w:hint="default"/>
          <w:lang w:val="hr-HR"/>
        </w:rPr>
      </w:pPr>
      <w:r>
        <w:rPr>
          <w:lang w:val="hr-HR"/>
        </w:rPr>
        <w:t xml:space="preserve"> Ova Odluka stupa na snagu danom donošenja</w:t>
      </w:r>
      <w:r>
        <w:rPr>
          <w:rFonts w:hint="default"/>
          <w:lang w:val="hr-HR"/>
        </w:rPr>
        <w:t>, a objaviti će se u “Službenom vjesniku” Vukovarsko - srijemske županije.</w:t>
      </w:r>
    </w:p>
    <w:p>
      <w:pPr>
        <w:pStyle w:val="11"/>
        <w:jc w:val="both"/>
        <w:rPr>
          <w:lang w:val="hr-HR"/>
        </w:rPr>
      </w:pPr>
    </w:p>
    <w:p>
      <w:pPr>
        <w:pStyle w:val="11"/>
        <w:jc w:val="both"/>
        <w:rPr>
          <w:lang w:val="hr-HR"/>
        </w:rPr>
      </w:pPr>
    </w:p>
    <w:p>
      <w:pPr>
        <w:pStyle w:val="11"/>
        <w:jc w:val="both"/>
        <w:rPr>
          <w:lang w:val="hr-HR"/>
        </w:rPr>
      </w:pPr>
    </w:p>
    <w:p>
      <w:pPr>
        <w:pStyle w:val="11"/>
        <w:jc w:val="right"/>
        <w:rPr>
          <w:lang w:val="hr-HR"/>
        </w:rPr>
      </w:pPr>
    </w:p>
    <w:p>
      <w:pPr>
        <w:pStyle w:val="11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</w:t>
      </w:r>
      <w:r>
        <w:rPr>
          <w:rFonts w:hint="default"/>
          <w:lang w:val="hr-HR"/>
        </w:rPr>
        <w:t xml:space="preserve"> </w:t>
      </w:r>
      <w:r>
        <w:rPr>
          <w:lang w:val="hr-HR"/>
        </w:rPr>
        <w:t>Predsjednik</w:t>
      </w:r>
    </w:p>
    <w:p>
      <w:pPr>
        <w:pStyle w:val="11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Općinskog vijeća:</w:t>
      </w:r>
    </w:p>
    <w:p>
      <w:pPr>
        <w:pStyle w:val="11"/>
        <w:rPr>
          <w:rFonts w:hint="default"/>
          <w:lang w:val="hr-HR"/>
        </w:rPr>
      </w:pPr>
      <w:r>
        <w:rPr>
          <w:lang w:val="hr-HR"/>
        </w:rPr>
        <w:t xml:space="preserve">                                                                     </w:t>
      </w:r>
      <w:r>
        <w:rPr>
          <w:lang w:val="hr-HR"/>
        </w:rPr>
        <w:br w:type="textWrapping"/>
      </w:r>
      <w:r>
        <w:rPr>
          <w:lang w:val="hr-HR"/>
        </w:rPr>
        <w:t xml:space="preserve">                                                                                                                  </w:t>
      </w:r>
      <w:r>
        <w:rPr>
          <w:rFonts w:hint="default"/>
          <w:lang w:val="hr-HR"/>
        </w:rPr>
        <w:t>Tomo Đaković</w:t>
      </w:r>
    </w:p>
    <w:p>
      <w:pPr>
        <w:pStyle w:val="11"/>
        <w:jc w:val="right"/>
        <w:rPr>
          <w:lang w:val="hr-HR"/>
        </w:rPr>
      </w:pPr>
    </w:p>
    <w:p>
      <w:pPr>
        <w:pStyle w:val="11"/>
        <w:jc w:val="both"/>
        <w:rPr>
          <w:lang w:val="hr-HR"/>
        </w:rPr>
      </w:pPr>
      <w:r>
        <w:rPr>
          <w:lang w:val="hr-HR"/>
        </w:rPr>
        <w:t>Dostaviti:</w:t>
      </w:r>
    </w:p>
    <w:p>
      <w:pPr>
        <w:pStyle w:val="11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Općinska narodna knjižnica, Babina Greda,</w:t>
      </w:r>
    </w:p>
    <w:p>
      <w:pPr>
        <w:pStyle w:val="11"/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lang w:val="hr-HR"/>
        </w:rPr>
        <w:t>Pismohrana.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  <w:lang w:eastAsia="hr-HR"/>
        </w:rPr>
      </w:pPr>
      <w:r>
        <w:rPr>
          <w:rFonts w:ascii="Arial" w:hAnsi="Arial" w:cs="Arial"/>
          <w:b/>
          <w:color w:val="auto"/>
          <w:sz w:val="24"/>
          <w:szCs w:val="24"/>
        </w:rPr>
        <w:t>OPĆINSKA NARODNA KNJIŽNICA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  <w:lang w:eastAsia="hr-HR"/>
        </w:rPr>
      </w:pPr>
      <w:r>
        <w:rPr>
          <w:rFonts w:ascii="Arial" w:hAnsi="Arial" w:cs="Arial"/>
          <w:b/>
          <w:color w:val="auto"/>
          <w:sz w:val="24"/>
          <w:szCs w:val="24"/>
          <w:lang w:eastAsia="hr-HR"/>
        </w:rPr>
        <w:t xml:space="preserve">         BABINA GREDA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  <w:lang w:eastAsia="hr-HR"/>
        </w:rPr>
      </w:pPr>
      <w:r>
        <w:rPr>
          <w:rFonts w:ascii="Arial" w:hAnsi="Arial" w:cs="Arial"/>
          <w:b/>
          <w:color w:val="auto"/>
          <w:sz w:val="24"/>
          <w:szCs w:val="24"/>
          <w:lang w:eastAsia="hr-HR"/>
        </w:rPr>
        <w:t xml:space="preserve">          RAVNATELJICA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Babina Greda, 14. veljače 2022. godine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Na temelju članka 25. Uredbe o uredskom poslovanju (NN 75/2021) i članka 14. Naputka o brojčanim oznakama pismena te sadržaju evidencija uredskog poslovanja (NN 132/2021), ravnateljica Općinske narodne knjižnice  Babina Greda dana 14. veljače 2022. godine donosi sljedeći: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spacing w:line="360" w:lineRule="auto"/>
        <w:ind w:right="16"/>
        <w:jc w:val="center"/>
        <w:rPr>
          <w:rFonts w:ascii="Arial" w:hAnsi="Arial" w:cs="Arial"/>
          <w:b/>
          <w:color w:val="auto"/>
          <w:sz w:val="24"/>
          <w:szCs w:val="24"/>
          <w:lang w:eastAsia="hr-HR"/>
        </w:rPr>
      </w:pPr>
      <w:r>
        <w:rPr>
          <w:rFonts w:ascii="Arial" w:hAnsi="Arial" w:cs="Arial"/>
          <w:b/>
          <w:color w:val="auto"/>
          <w:sz w:val="24"/>
          <w:szCs w:val="24"/>
          <w:lang w:eastAsia="hr-HR"/>
        </w:rPr>
        <w:t>PLAN KLASIFIKACIJSKIH OZNAKA I BROJČANIH OZNAKA</w:t>
      </w:r>
    </w:p>
    <w:p>
      <w:pPr>
        <w:widowControl/>
        <w:suppressAutoHyphens w:val="0"/>
        <w:spacing w:line="360" w:lineRule="auto"/>
        <w:ind w:right="16"/>
        <w:jc w:val="center"/>
        <w:rPr>
          <w:rFonts w:ascii="Arial" w:hAnsi="Arial" w:cs="Arial"/>
          <w:b/>
          <w:color w:val="auto"/>
          <w:sz w:val="24"/>
          <w:szCs w:val="24"/>
          <w:lang w:eastAsia="hr-HR"/>
        </w:rPr>
      </w:pPr>
      <w:r>
        <w:rPr>
          <w:rFonts w:ascii="Arial" w:hAnsi="Arial" w:cs="Arial"/>
          <w:b/>
          <w:color w:val="auto"/>
          <w:sz w:val="24"/>
          <w:szCs w:val="24"/>
          <w:lang w:eastAsia="hr-HR"/>
        </w:rPr>
        <w:t>STVARATELJA I PRIMALACA AKATA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spacing w:line="360" w:lineRule="auto"/>
        <w:ind w:right="16"/>
        <w:jc w:val="center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Članak 1.</w:t>
      </w:r>
    </w:p>
    <w:p>
      <w:pPr>
        <w:widowControl/>
        <w:suppressAutoHyphens w:val="0"/>
        <w:spacing w:line="360" w:lineRule="auto"/>
        <w:ind w:right="20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Ovim Planom klasifikacijskih oznaka i brojčanih oznaka stvaratelja i primalaca akata utvrđuju se klasifikacijske oznake akata koji se mogu pojaviti u radu Općinske narodne knjižnice Babina Greda. Sastavni dio ovog Plana su i brojčane oznake unutarnjih ustrojstvenih jedinica Knjižnice.</w:t>
      </w:r>
    </w:p>
    <w:p>
      <w:pPr>
        <w:widowControl/>
        <w:suppressAutoHyphens w:val="0"/>
        <w:spacing w:line="360" w:lineRule="auto"/>
        <w:ind w:right="16"/>
        <w:jc w:val="center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Članak 2.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Klasifikacijske oznake akata prema njihovom sadržaju i obliku utvrđuju se na sljedeći način:</w:t>
      </w:r>
    </w:p>
    <w:tbl>
      <w:tblPr>
        <w:tblStyle w:val="3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9"/>
        <w:gridCol w:w="7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Glavna grupa,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br w:type="textWrapping"/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 i 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Naziv upravnog područja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br w:type="textWrapping"/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ili djelatnosti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GLAVNA 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DRŽAVA I DRUŠTVO, USTROJSTVO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br w:type="textWrapping"/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DRŽAVNE VLASTI I UPRAVA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DRŽAVA I DRUŠTVO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007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USTANOVE (OPĆENITO)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008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INFORMIRANJE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008-01 Informiranje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008-02/22-02 Javno informiranje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009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ZAŠTITA OSOBNIH PODATAKA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009-01 Opći akti, procedure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009-02 Izjave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009-03 Odluke o zaštiti osobnih podataka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009-04 Privole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DRŽAVNO UREĐENJE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011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USTAV, ZAKONI I DRUGI PROPISI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011-01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011-02 Postupak donošenja propisa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011-03 Objavljivanje propisa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011-04 Poslovnik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011-05 Statuti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03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UPRAVNO POSLOVANJE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030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ORGANIZACIJA, METODE I TEHNIKE RADA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030-01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030-02 Ustrojstvo rada i radni postupci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030-03 Informatička djelatnost i oprema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030-04 Telekomunikacijska oprema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030-05 Oprema radnih protorija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031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PRIJAMNE SLUŽBE, SLUŽBE TJELESNE ZAŠTITE I DRUGE USLUGE, TEHNIČKI I POMOĆNI POSLOVI, OZNAKE I OBAVIJESTI</w:t>
            </w:r>
          </w:p>
          <w:p>
            <w:pPr>
              <w:widowControl/>
              <w:suppressAutoHyphens w:val="0"/>
              <w:rPr>
                <w:rFonts w:ascii="Arial" w:hAnsi="Arial" w:cs="Arial"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  <w:lang w:eastAsia="hr-HR"/>
              </w:rPr>
              <w:t>031-01-Općenito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031-02 Natpisne i oglasne ploče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031-03 Prijemne službe, pisarnica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032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INFORMACIJSKO-DOKUMENTACIJSKO POSLOVANJE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032-01 Pristup informacijama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032-02 Stručna biblioteka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032-03 Stručni časopisi i literatura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034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UPRAVNI POSTUPAK I UPRAVNI SPOR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034-01 Upravni postupak i upravni spor –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034-02 Opći upravni postupak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034-03 Posebni upravni postupci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034-04 Izdavanje potvrda i mišljenja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034-05 Zahtjev za upis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034-06 Zahtjev za ispis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034-07 Rješenja o upisu i ispisu djece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034-08 Izvještaji o stanju rješavanja upravnih stvari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035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UREDSKO POSLOVANJE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035-01 Uredsko poslovanje -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035-02 Klase i urudžbeni brojevi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035-03 Postupak s aktima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035-04 Evidencije i obrasci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035-05 Oblik, sadržaj i način izrade akta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036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UPRAVLJANJE DOKUMENTARNIM GRADIVOM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036-01 Upravljanje dokumentarnim gradivom –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036-02 Čuvanje arhivskog gradiva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036-03 Izlučivanje arhivskog gradiva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037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OVJERE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037-01 Ovjere rukopisa, potpisa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038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PEČATI, ŽIGOVI I ŠTAMBILJI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038-01 Pečati, žigovi i štambilji –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038-02 Odobrenje za izradu pečata i žigova s grbom RH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038-03 Upotreba, čuvanje i uništavanje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04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UPRAVNI, INSPEKCIJSKI I DRUGI NADZORI U JAVNOPRAVNIM TIJELIMA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042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UNUTARNJE KONTROLE U JAVNOM SEKTORU I REVIZIJA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042-01 Općenito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PREDSTAVKE, MOLBE, PRIJEDLOZI I PRITUŽBE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052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OSTALE PREDSTAVKE I PRITUŽBE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052-01 Predstavke i pritužbe –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052-02 Pojedinačni predmeti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053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MOLBE I PRIJEDLOZI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053-01 Molbe i prijedlozi –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053-02 Zamolbe po natječajima za radna mjesta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053-03 Pojedinačni predmeti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06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ODLIKOVNJA, JAVNE NAGRADE I PRIZNANJA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061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JAVNE NAGRADE I PRIZNANJA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061-01 Javne nagrade i priznanja –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061-02 Za znanstveno – istraživački rad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061-03 Ostale nagrade i priznanja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GLAVNA 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RAD I RADNI ODNOSI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RADNI ODNOSI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110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ZAPOSLENI U JAVNOM SEKTORU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110-01 Prava i obveze zaposlenika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112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ZASNIVANJE I PRESTANAK RADNOG ODNOSA, PRIJAM U SLUŽBU I PRESTANAK SLUŽBE, UGOVOR O DJELU, DOPUNSKI RAD I OSTALO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112-01 Radni odnosi –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112-02 Ugovori o radu na neodređeno vrijeme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112-03 Ugovori o radu na određeno vrijeme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112-04 Ugovori o djelu (vanjski suradnici)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112-05 Ugovor o autorskom djelu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112-06 Ugovor o osposobljavanju bez radnog odnosa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112-07 Ugovor o volontiranju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113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RADNO VRIJEME, ODMORI, DOPUSTI I BOLOVANJA, OBUSTAVE RADA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113-01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113-02 Radno vrijeme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113-03 Godišnji odmori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113-04 Dopusti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113-05 Bolovanja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113-06 ostalo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114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RADNI SPOROVI, MATERIJALNA I DISCIPLINSKA ODGOVORNOST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114-01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114-02 Radni sporovi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114-03 Disciplinska odgovornost i postupak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114-04 Materijalna odgovornost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115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ZAŠTITA NA RADU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115-01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115-02 Nesreće na radu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115-03 Zaštitna sredstva i oprema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116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INSPEKCIJA RADA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116-01 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116-02 Pojedinačni predmeti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117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RADNI STAŽ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117-01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117-02 Utvrđivanje radnog staža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119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UPRAVLJANJE LJUDSKIM POTENCIJALIMA, OCJENJIVANJE I OSTALO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119-01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119-02 Kadrovske evidencije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PLAĆE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120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STJECANJE PLAĆE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120-01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120-02 Stjecanje plaće (utvrđivanje, raspoređivanje)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122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OSTALA PRIMANJA PO OSNOVI RADA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122-01 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122-02 Dnevnice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122-03 Naknada za prijevoz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122-04 Regres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122-05 Božićnica i Uskrsnica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122-06 Dar za dijete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122-07 Pomoć u slučaju smrti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122-08 Jubilarne nagrade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122-09 Otpremnine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122-10 Autorski ugovori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122-11 Radna odijela i druga zaštitna sredstva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STRUČNO USAVRŠAVANJE I OSPOSOBLJAVANJE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130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TEČAJEVI, SAVJETOVANJA I STRUČNA PUTOVANJA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130-01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130-02 Tečajevi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130-03 Seminari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130-04 Stručna putovanja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130-05 Kongresi i simpoziji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131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SPECIJALIZACIJE I DRUGA STRUČNA USAVRŠAVANJA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131-01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132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VJEŽBENICI, PRIPRAVNICI I STRUČNA PRAKSA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132-01 Planovi i programi stažiranja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132-02 Prijave stažiranja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132-03 Pripravnici - općenito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133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DRŽAVNI, STRUČNI I PRAVOSUDNI ISPITI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133-01 Stručni ispiti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133-02 Prijave stručnih ispita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134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STRUČNI I AKADEMSKI NAZIVI I AKADEMSKI STUPANJ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134-01 Stručni nazivi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MIROVINSKO I INVALIDSKO OSIGURANJE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140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MIROVINSKO OSIGURANJE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140-01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140-02 Starosna mirovina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140-03 Prijevremena mirovina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141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INVALIDSKO OSIGURANJE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141-01 Invalidska mirovina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142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OSTALA PRIMANJA PO OSNOVI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br w:type="textWrapping"/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MIROVINSKOG OSIGURANJA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142-01 Općenito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SINDIKATI, UDRUGE POSLODAVACA I KOLEKTIVNI UGOVORI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150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SINDIKATI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150-01  općenito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152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KOLEKTIVNI UGOVORI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152-01  općenito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GLAVNA 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UNUTARNJI POSLOVI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SUSTAV CIVILNE ZAŠTITE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245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ZAŠTITA OD POŽARA I EKSPLOZIJA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245-01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245-02 Zaštita od požara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246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ZAŠTITA I SPAŠAVANJE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246-01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246-02 Osposobljavanje i usavršavanje radnika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GOSPODARSTVO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GOSPODARSKI SUSTAV I EKONOMSKA POLITIKA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303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GOSPODARSKA SURADNJA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303-01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303-02 Gospodarska suradnja – RH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303-02 Gospodarska suradnja - inozemstvo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33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TRGOVINA, UGOSTITELJSTVO I TURIZAM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333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OPSKRBA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333-01 Opskrba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PROMET I KOMUNIKACIJE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344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ELEKTRONIČKE KOMUNIKACIJE I POŠTANSKE USLUGE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344-01 Poštanski promet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344-02 Telekomunikacijski promet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35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PROSTORNO UREĐENJE, ZAŠTITA OKOLIŠA I PRIRODE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351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ZAŠTITA OKOLIŠA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351-01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351-02 Mjere zaštite čovjekove okoline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351-03 Studije utjecaja na okoliš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352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ZAŠTITA PRIRODE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352-01 Općenito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36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GRADITELJSTVO, KOMUNALNI POSLOVI, PROCJENA VRIJEDNOSTI NEKRETNINA I ENERGETSKA UČINKOVITOST U ZGRADARSTVU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360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POSLOVI U GRADITELJSTVU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360-01 Građevinski poslovi – općenito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361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GRADNJA GRAĐEVINA I OBNOVA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361-01 Građevinska dozvola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361-02 ostalo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363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KOMUNALNI POSLOVI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363-01 Komunalna naknada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37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STAMBENO GOSPODARSTVO, STAMBENO ZBRINJAVANJE I STAMBENI ODNOSI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372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POSLOVNI PROSTOR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372-01 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372-02 Najam i zakup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38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GOSPODARSKA DOGAĐANJA, PROMIDŽBA I MARKETING, TEHNOLOŠKI RAZVOJ, INTELEKTUALNO VLASNIŠTVO, STANDARDI I TEHNIČKI NORMATIVI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381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TEHNOLOŠKI RAZVOJ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381-01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381-02 Strategija tehnološkog razvoja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381-03 Izumi i inovacije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GLAVNA 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FINANCIJE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FINANCIJE (OPĆENITO)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400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FINANCIJSKO-PLANSKI DOKUMENTI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400-01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400-02 Financijski planovi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400-03 Predračuni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400-04 Periodični obračuni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400-05 Završni računi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400-06 Proračuni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400-07 Ostalo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401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KNJIGOVODSTVENO-RAČUNOVODSTVENO POSLOVANJE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401-01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401-02 Knjigovodstvene evidencije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401-03 Računi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401-04 Kontni plan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401-05 Ostalo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402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FINANCIRANJE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402-01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402-02 Financiranje djelatnosti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402-03 Refundacije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402-04 Sufinanciranje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402-05 Financije iz proračuna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402-06 Fondovi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402-07 Ostalo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403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KREDITIRANJE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403-01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403-02 Jamstva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403-03 Potraživanja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404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INVESTICIJE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404-01 Investicijsko održavanje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406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UPRAVLJANJE IMOVINOM I NABAVLJANJE IMOVINE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406-01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406-02 Osnovna sredstva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406-03 Inventar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406-04 Obvezni odnosi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406-05 Inventure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406-06 Javna nabava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JAVNI RASHODI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420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REGRESI, PREMIJE I KOMPENZACIJE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420-01 Regresi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420-02 Kompenzacije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422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DONACIJE, SUBVENCIJE I HUMANITARNA POMOĆ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422-01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422-02 Zahtjevi za donacijama, subvencijama i   humanitarnom pomoći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47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KONTROLA FINANCIJSKOG POSLOVANJA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470</w:t>
            </w:r>
          </w:p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FINANCIJSKI NADZOR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470-01 Financijska revizija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GLAVNA 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5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ZDRAVSTVO, SOCIJALNA ZAŠTITA, BRANITELJI, DEMOGRAFIJA I OBITELJ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ZDRAVSTVENA ZAŠTITA I ZDRAVSTVENO OSIGURANJE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500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ZDRAVSTVENA ZAŠTITA (OPĆENITO)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500-01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500-02 Zdravstvene evidencije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500-03 Ostalo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502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PRAVA IZ ZDRAVSTVENOG OSIGURANJA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502-01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502-02 Nesreća na radu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502-03 Naknada plaće za vrijeme rodiljnog dopusta i produženje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502-04 Naknada zbog privremene spriječenosti za rad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504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INCIDENTNA I KRIZNA ZDRAVSTVENA STANJA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504-01 Mjere i preporuke za suzbijanje epidemije i pandemije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GLAVNA 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6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OBRAZOVANJE, ZNANOST, KULTURA, SPORT I RAZVOJ DIGITALNOG DRUŠTVA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60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OBRAZOVANJE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601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PREDŠKOLSKI ODGOJ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601-01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601-02 Ustanove predškolskog odgoja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601-03 Ostalo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604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STIPENDIRANJE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604-01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604-02 Stipendije i krediti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604-03 Međunarodne stipendije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605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SURADNJA S INOZEMSTVOM U PODRUČJU OBRAZOVANJA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605-01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605-02 Programi EU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61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KULTURA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610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color w:val="231F20"/>
                <w:sz w:val="24"/>
                <w:szCs w:val="24"/>
                <w:lang w:eastAsia="hr-HR"/>
              </w:rPr>
              <w:t>MANIFESTACIJE I KOMEMORACIJE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610-01 Kulturne manifestacije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610-02 komemoracije i žalosti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610-03 obilježavanje obljetnica i prigodnih datuma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611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KULTURNO I UMJETNIČKO STVARALAŠTVO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611-01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611-02 knjižničarska  djelatnost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611-03 glazbena i glazbeno – scenska djelatnost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611-04 likovna djelatnost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611-05 arhivska djelatnost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611-06 nakladnička djelatnost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611-07 kazališna djelatnost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611-08 Ostalo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612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ZAŠTITA KULTURNE BAŠTINE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  <w:lang w:eastAsia="hr-HR"/>
              </w:rPr>
              <w:t xml:space="preserve">612-01 </w:t>
            </w: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memorijalni centri,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 xml:space="preserve">612-02  spomen-područja, 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612-03 zaštita spomenika kulture,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 xml:space="preserve">612-04 zaštita arheološke baštine, </w:t>
            </w:r>
          </w:p>
          <w:p>
            <w:pPr>
              <w:widowControl/>
              <w:suppressAutoHyphens w:val="0"/>
              <w:rPr>
                <w:rFonts w:ascii="Minion Pro" w:hAnsi="Minion Pro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612-05 ostalo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64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ZNANOST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643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ZNANSTVENO USAVRŠAVANJE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643-01 Znanstveno usavršavanje –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643-02 Poslijediplomski studij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643-03 Doktorat znanosti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643-04 Znanstveno usavršavanje - ostalo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644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ISTRAŽIVAČKO-RAZVOJNI RAD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644-01 Općenito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65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INFORMATIKA I DIGITALNO DRUŠTVO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650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INFORMATIKA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650-01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650-02 Informatička oprema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650-03 Kadrovi u informatici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650-04 Ostalo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651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RAZVOJ DIGITALNOG DRUŠTVA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651-01 Općenito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GLAVNA 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PRAVOSUĐE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74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OSTALO IZ PRAVOSUDNOG SUSTAVA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740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PRAVOSUDNI SUSTAV (OPĆENITO)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740-01 Kazneno pravo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740-02 Ovršni postupak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740-03 Uknjižba nekretnina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740-04 Upis u sudski registar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90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EUROPSKI POSLOVI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901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KORIŠTENJE SREDSTAVA EUROPSKE UNIJE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901-01 Korištenje sredstava EU –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901-02 Dokumenti o korištenju sredstava EU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901-03 Programi korištenja sredstava EU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901-04 Ostalo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91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VANJSKI POSLOVI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910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PREDSTAVLJANJE REPUBLIKE HRVATSKE U DRUGIM DRŽAVAMA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910-01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910-02 Suradnja s međunarodnim organizacijama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910-03 Ostalo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94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IMOVINSKO-PRAVNI POSLOVI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940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IMOVINA U DRŽAVNOM VLASNIŠTVU I VLASNIŠTVU JEDINICA LOKALNE I PODRUČNE (REGIONALNE) SAMOUPRAVE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940-01 evidencija nekretnina u vlasništvu - općenito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95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STATISTIKA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953</w:t>
            </w:r>
          </w:p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DEMOGRAFSKA I DRUŠTVENA STATISTIKA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953-01 Općenito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953-02 opis sta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953-03 Ostalo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957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STATISTIČKI PODACI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957-01 Statistika korisničkih zahtjeva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957-02 Statistika zaštite podataka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957-03 Statistika financiranja i investiranja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957-04 Ostalo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98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FONDOVI EUROPSKE UNIJE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983</w:t>
            </w: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DODJELA BESPOVRATNIH SREDSTAVA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983-01 Sklapanje ugovora za dodjelu bespovratnih sredstava</w:t>
            </w:r>
          </w:p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  <w:t>983-01 Ostalo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99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OSTALO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PODGRUPA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color w:val="231F20"/>
                <w:sz w:val="24"/>
                <w:szCs w:val="24"/>
                <w:lang w:eastAsia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990</w:t>
            </w:r>
          </w:p>
        </w:tc>
        <w:tc>
          <w:tcPr>
            <w:tcW w:w="721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>
            <w:pPr>
              <w:widowControl/>
              <w:suppressAutoHyphens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  <w:lang w:eastAsia="hr-HR"/>
              </w:rPr>
              <w:t>OSTALO</w:t>
            </w:r>
          </w:p>
        </w:tc>
      </w:tr>
    </w:tbl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  <w:lang w:eastAsia="hr-HR"/>
        </w:rPr>
      </w:pPr>
      <w:r>
        <w:rPr>
          <w:rFonts w:ascii="Arial" w:hAnsi="Arial" w:cs="Arial"/>
          <w:b/>
          <w:color w:val="auto"/>
          <w:sz w:val="24"/>
          <w:szCs w:val="24"/>
          <w:lang w:eastAsia="hr-HR"/>
        </w:rPr>
        <w:t>Primjer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b/>
          <w:color w:val="auto"/>
          <w:sz w:val="24"/>
          <w:szCs w:val="24"/>
          <w:lang w:eastAsia="hr-HR"/>
        </w:rPr>
        <w:t>Klasifikacijska oznaka</w:t>
      </w:r>
      <w:r>
        <w:rPr>
          <w:rFonts w:ascii="Arial" w:hAnsi="Arial" w:cs="Arial"/>
          <w:color w:val="auto"/>
          <w:sz w:val="24"/>
          <w:szCs w:val="24"/>
          <w:lang w:eastAsia="hr-HR"/>
        </w:rPr>
        <w:t xml:space="preserve"> se sastoji od pet grupa brojeva sa slijedećom strukturom: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>XXX – XX/XX – XX/X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 xml:space="preserve">   1</w:t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 xml:space="preserve">  2    3       4    5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 xml:space="preserve">1. 611  </w:t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>KULTURNO I UMJETNIČKO STVARALAŠTVO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 xml:space="preserve">2.  02  </w:t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>KNJIŽNIČARSKA DJELATNOST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 xml:space="preserve">3.  21 </w:t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>GODINA OTVARANJA PREDMETA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 xml:space="preserve">4.  01 – općenito </w:t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>BROJ DOSJEA UNUTAR KLASIFIKACIJE PREDMETA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5.  1</w:t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>SVAKI BROJ DOSJEA IMA REDNI BROJ OD 1 I REDOM DALJE OVISNO O BROJU PREDMETA UNUTAR TOG DOSJEA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</w:p>
    <w:p>
      <w:pPr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 xml:space="preserve">PRIMJER: </w:t>
      </w:r>
      <w:r>
        <w:rPr>
          <w:rFonts w:ascii="Arial" w:hAnsi="Arial" w:cs="Arial"/>
          <w:b/>
          <w:color w:val="auto"/>
          <w:sz w:val="24"/>
          <w:szCs w:val="24"/>
          <w:lang w:eastAsia="hr-HR"/>
        </w:rPr>
        <w:t>611</w:t>
      </w:r>
      <w:r>
        <w:rPr>
          <w:rFonts w:ascii="Arial" w:hAnsi="Arial" w:cs="Arial"/>
          <w:color w:val="auto"/>
          <w:sz w:val="24"/>
          <w:szCs w:val="24"/>
          <w:lang w:eastAsia="hr-HR"/>
        </w:rPr>
        <w:t xml:space="preserve"> (KULTURNO I UMJETNIČKO STVARALAŠTVO  ) </w:t>
      </w:r>
      <w:r>
        <w:rPr>
          <w:rFonts w:ascii="Arial" w:hAnsi="Arial" w:cs="Arial"/>
          <w:b/>
          <w:color w:val="auto"/>
          <w:sz w:val="24"/>
          <w:szCs w:val="24"/>
          <w:lang w:eastAsia="hr-HR"/>
        </w:rPr>
        <w:t>–02</w:t>
      </w:r>
      <w:r>
        <w:rPr>
          <w:rFonts w:ascii="Arial" w:hAnsi="Arial" w:cs="Arial"/>
          <w:color w:val="auto"/>
          <w:sz w:val="24"/>
          <w:szCs w:val="24"/>
          <w:lang w:eastAsia="hr-HR"/>
        </w:rPr>
        <w:t xml:space="preserve"> (KNJIŽNIČARSKA DJELATNOST) </w:t>
      </w:r>
      <w:r>
        <w:rPr>
          <w:rFonts w:ascii="Arial" w:hAnsi="Arial" w:cs="Arial"/>
          <w:b/>
          <w:color w:val="auto"/>
          <w:sz w:val="24"/>
          <w:szCs w:val="24"/>
          <w:lang w:eastAsia="hr-HR"/>
        </w:rPr>
        <w:t xml:space="preserve">/22 </w:t>
      </w:r>
      <w:r>
        <w:rPr>
          <w:rFonts w:ascii="Arial" w:hAnsi="Arial" w:cs="Arial"/>
          <w:color w:val="auto"/>
          <w:sz w:val="24"/>
          <w:szCs w:val="24"/>
          <w:lang w:eastAsia="hr-HR"/>
        </w:rPr>
        <w:t xml:space="preserve">(GODINA) </w:t>
      </w:r>
      <w:r>
        <w:rPr>
          <w:rFonts w:ascii="Arial" w:hAnsi="Arial" w:cs="Arial"/>
          <w:b/>
          <w:color w:val="auto"/>
          <w:sz w:val="24"/>
          <w:szCs w:val="24"/>
          <w:lang w:eastAsia="hr-HR"/>
        </w:rPr>
        <w:t>–01</w:t>
      </w:r>
      <w:r>
        <w:rPr>
          <w:rFonts w:ascii="Arial" w:hAnsi="Arial" w:cs="Arial"/>
          <w:color w:val="auto"/>
          <w:sz w:val="24"/>
          <w:szCs w:val="24"/>
          <w:lang w:eastAsia="hr-HR"/>
        </w:rPr>
        <w:t xml:space="preserve"> (OPĆENITO/DOPISI) </w:t>
      </w:r>
      <w:r>
        <w:rPr>
          <w:rFonts w:ascii="Arial" w:hAnsi="Arial" w:cs="Arial"/>
          <w:b/>
          <w:color w:val="auto"/>
          <w:sz w:val="24"/>
          <w:szCs w:val="24"/>
          <w:lang w:eastAsia="hr-HR"/>
        </w:rPr>
        <w:t xml:space="preserve">/1 </w:t>
      </w:r>
      <w:r>
        <w:rPr>
          <w:rFonts w:ascii="Arial" w:hAnsi="Arial" w:cs="Arial"/>
          <w:color w:val="auto"/>
          <w:sz w:val="24"/>
          <w:szCs w:val="24"/>
          <w:lang w:eastAsia="hr-HR"/>
        </w:rPr>
        <w:t>(REDNI BROJ)</w:t>
      </w:r>
    </w:p>
    <w:p>
      <w:pPr>
        <w:widowControl/>
        <w:suppressAutoHyphens w:val="0"/>
        <w:spacing w:line="360" w:lineRule="auto"/>
        <w:ind w:left="720"/>
        <w:contextualSpacing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b/>
          <w:color w:val="auto"/>
          <w:sz w:val="24"/>
          <w:szCs w:val="24"/>
          <w:lang w:eastAsia="hr-HR"/>
        </w:rPr>
        <w:t>611-02/22-01/1</w:t>
      </w:r>
      <w:r>
        <w:rPr>
          <w:rFonts w:ascii="Arial" w:hAnsi="Arial" w:cs="Arial"/>
          <w:color w:val="auto"/>
          <w:sz w:val="24"/>
          <w:szCs w:val="24"/>
          <w:lang w:eastAsia="hr-HR"/>
        </w:rPr>
        <w:t xml:space="preserve"> Općenito – dopisi</w:t>
      </w:r>
    </w:p>
    <w:p>
      <w:pPr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PRIMJER:</w:t>
      </w:r>
    </w:p>
    <w:p>
      <w:pPr>
        <w:widowControl/>
        <w:suppressAutoHyphens w:val="0"/>
        <w:spacing w:line="360" w:lineRule="auto"/>
        <w:contextualSpacing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112-02/22-01/1</w:t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>- UGOVOR O RADU NA NEODREĐENO RADNO VRIJEME</w:t>
      </w:r>
    </w:p>
    <w:p>
      <w:pPr>
        <w:widowControl/>
        <w:suppressAutoHyphens w:val="0"/>
        <w:spacing w:line="360" w:lineRule="auto"/>
        <w:contextualSpacing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112-02/22-01/2</w:t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>- DRUGI UGOVOR NA NEODREĐENO RADNO VRIJEME</w:t>
      </w:r>
    </w:p>
    <w:p>
      <w:pPr>
        <w:widowControl/>
        <w:suppressAutoHyphens w:val="0"/>
        <w:spacing w:line="360" w:lineRule="auto"/>
        <w:contextualSpacing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112-02/22-01/3</w:t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>- TREĆI UGOVOR I TAKO DALJE</w:t>
      </w:r>
    </w:p>
    <w:p>
      <w:pPr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PRIMJER</w:t>
      </w:r>
    </w:p>
    <w:p>
      <w:pPr>
        <w:widowControl/>
        <w:suppressAutoHyphens w:val="0"/>
        <w:spacing w:line="360" w:lineRule="auto"/>
        <w:contextualSpacing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400-05/22-01/1      - ZAVRŠNI RAČUN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Članak 3.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Brojčane oznake unutarnjih ustrojstvenih jedinica (stvaraoca akata) su: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>01 Ravnateljica</w:t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>(broj predmeta unutar spisa) 1,2,…</w:t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Primjer:</w:t>
      </w:r>
    </w:p>
    <w:p>
      <w:pPr>
        <w:widowControl/>
        <w:suppressAutoHyphens w:val="0"/>
        <w:spacing w:line="360" w:lineRule="auto"/>
        <w:ind w:right="1942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b/>
          <w:color w:val="auto"/>
          <w:sz w:val="24"/>
          <w:szCs w:val="24"/>
          <w:lang w:eastAsia="hr-HR"/>
        </w:rPr>
        <w:t>Urudžbeni broj</w:t>
      </w:r>
      <w:r>
        <w:rPr>
          <w:rFonts w:ascii="Arial" w:hAnsi="Arial" w:cs="Arial"/>
          <w:color w:val="auto"/>
          <w:sz w:val="24"/>
          <w:szCs w:val="24"/>
          <w:lang w:eastAsia="hr-HR"/>
        </w:rPr>
        <w:t xml:space="preserve"> sastoji se od pet grupa brojeva sa slijedećom strukturom: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XXXX - XX– XX- XX – X</w:t>
      </w:r>
    </w:p>
    <w:p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 xml:space="preserve">     2      3     4     5</w:t>
      </w:r>
    </w:p>
    <w:p>
      <w:pPr>
        <w:widowControl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2196-7 BROJČANA OZNAKA</w:t>
      </w:r>
    </w:p>
    <w:p>
      <w:pPr>
        <w:widowControl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2196-7-2  BROJ USTANOVE – KNJIŽNICA</w:t>
      </w:r>
    </w:p>
    <w:p>
      <w:pPr>
        <w:widowControl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01 – Ravnatelj</w:t>
      </w:r>
      <w:r>
        <w:rPr>
          <w:rFonts w:ascii="Arial" w:hAnsi="Arial" w:cs="Arial"/>
          <w:color w:val="auto"/>
          <w:sz w:val="24"/>
          <w:szCs w:val="24"/>
          <w:lang w:eastAsia="hr-HR"/>
        </w:rPr>
        <w:tab/>
      </w:r>
      <w:r>
        <w:rPr>
          <w:rFonts w:ascii="Arial" w:hAnsi="Arial" w:cs="Arial"/>
          <w:color w:val="auto"/>
          <w:sz w:val="24"/>
          <w:szCs w:val="24"/>
          <w:lang w:eastAsia="hr-HR"/>
        </w:rPr>
        <w:t>OZNAKA UNUTARNJE ORGANIZACIJSKE JEDINICa</w:t>
      </w:r>
    </w:p>
    <w:p>
      <w:pPr>
        <w:widowControl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22   POSLJEDNJA DVA BROJA GODINE U KOJOJ JE NASTAO PREDMET</w:t>
      </w:r>
    </w:p>
    <w:p>
      <w:pPr>
        <w:widowControl/>
        <w:numPr>
          <w:ilvl w:val="0"/>
          <w:numId w:val="4"/>
        </w:numPr>
        <w:suppressAutoHyphens w:val="0"/>
        <w:spacing w:line="360" w:lineRule="auto"/>
        <w:contextualSpacing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1… REDNI BROJ URUDŽBENOG BROJA OD 1 NA DALJE UNUTAR ISTOG    PREDMETA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 xml:space="preserve">PRIMJER: 2196-7-2-01-22-1         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 xml:space="preserve">                                                Članak 4.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Plan klasifikacijskih i brojčanih oznaka stvaratelja i primatelja akata stupa na snagu donošenjem Odluke o  suglasnosti Općinskog vijeća Babina Greda i objavljen je na Oglasnoj ploči  Općinske narodne knjižnice Babina Greda.</w:t>
      </w: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eastAsia="hr-HR"/>
        </w:rPr>
      </w:pPr>
    </w:p>
    <w:p>
      <w:pPr>
        <w:widowControl/>
        <w:suppressAutoHyphens w:val="0"/>
        <w:spacing w:line="360" w:lineRule="auto"/>
        <w:jc w:val="right"/>
        <w:rPr>
          <w:rFonts w:ascii="Arial" w:hAnsi="Arial" w:cs="Arial"/>
          <w:color w:val="auto"/>
          <w:sz w:val="24"/>
          <w:szCs w:val="24"/>
          <w:lang w:eastAsia="hr-HR"/>
        </w:rPr>
      </w:pPr>
      <w:r>
        <w:rPr>
          <w:rFonts w:ascii="Arial" w:hAnsi="Arial" w:cs="Arial"/>
          <w:color w:val="auto"/>
          <w:sz w:val="24"/>
          <w:szCs w:val="24"/>
          <w:lang w:eastAsia="hr-HR"/>
        </w:rPr>
        <w:t>Ravnateljica</w:t>
      </w:r>
      <w:r>
        <w:rPr>
          <w:rFonts w:ascii="Arial" w:hAnsi="Arial" w:cs="Arial"/>
          <w:color w:val="auto"/>
          <w:sz w:val="24"/>
          <w:szCs w:val="24"/>
          <w:lang w:eastAsia="hr-HR"/>
        </w:rPr>
        <w:br w:type="textWrapping"/>
      </w:r>
      <w:r>
        <w:rPr>
          <w:rFonts w:ascii="Arial" w:hAnsi="Arial" w:cs="Arial"/>
          <w:color w:val="auto"/>
          <w:sz w:val="24"/>
          <w:szCs w:val="24"/>
          <w:lang w:eastAsia="hr-HR"/>
        </w:rPr>
        <w:t>Ivana Jurić,</w:t>
      </w:r>
    </w:p>
    <w:p>
      <w:pPr>
        <w:widowControl/>
        <w:suppressAutoHyphens w:val="0"/>
        <w:spacing w:line="360" w:lineRule="auto"/>
        <w:jc w:val="right"/>
      </w:pPr>
      <w:r>
        <w:rPr>
          <w:rFonts w:ascii="Arial" w:hAnsi="Arial" w:cs="Arial"/>
          <w:color w:val="auto"/>
          <w:sz w:val="24"/>
          <w:szCs w:val="24"/>
          <w:lang w:eastAsia="hr-HR"/>
        </w:rPr>
        <w:t xml:space="preserve">mag.philol.croat. et mag.bibl.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nion 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C20DE"/>
    <w:multiLevelType w:val="multilevel"/>
    <w:tmpl w:val="061C20DE"/>
    <w:lvl w:ilvl="0" w:tentative="0">
      <w:start w:val="1"/>
      <w:numFmt w:val="decimal"/>
      <w:lvlText w:val="%1"/>
      <w:lvlJc w:val="left"/>
      <w:pPr>
        <w:ind w:left="271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438" w:hanging="360"/>
      </w:pPr>
    </w:lvl>
    <w:lvl w:ilvl="2" w:tentative="0">
      <w:start w:val="1"/>
      <w:numFmt w:val="lowerRoman"/>
      <w:lvlText w:val="%3."/>
      <w:lvlJc w:val="right"/>
      <w:pPr>
        <w:ind w:left="4158" w:hanging="180"/>
      </w:pPr>
    </w:lvl>
    <w:lvl w:ilvl="3" w:tentative="0">
      <w:start w:val="1"/>
      <w:numFmt w:val="decimal"/>
      <w:lvlText w:val="%4."/>
      <w:lvlJc w:val="left"/>
      <w:pPr>
        <w:ind w:left="4878" w:hanging="360"/>
      </w:pPr>
    </w:lvl>
    <w:lvl w:ilvl="4" w:tentative="0">
      <w:start w:val="1"/>
      <w:numFmt w:val="lowerLetter"/>
      <w:lvlText w:val="%5."/>
      <w:lvlJc w:val="left"/>
      <w:pPr>
        <w:ind w:left="5598" w:hanging="360"/>
      </w:pPr>
    </w:lvl>
    <w:lvl w:ilvl="5" w:tentative="0">
      <w:start w:val="1"/>
      <w:numFmt w:val="lowerRoman"/>
      <w:lvlText w:val="%6."/>
      <w:lvlJc w:val="right"/>
      <w:pPr>
        <w:ind w:left="6318" w:hanging="180"/>
      </w:pPr>
    </w:lvl>
    <w:lvl w:ilvl="6" w:tentative="0">
      <w:start w:val="1"/>
      <w:numFmt w:val="decimal"/>
      <w:lvlText w:val="%7."/>
      <w:lvlJc w:val="left"/>
      <w:pPr>
        <w:ind w:left="7038" w:hanging="360"/>
      </w:pPr>
    </w:lvl>
    <w:lvl w:ilvl="7" w:tentative="0">
      <w:start w:val="1"/>
      <w:numFmt w:val="lowerLetter"/>
      <w:lvlText w:val="%8."/>
      <w:lvlJc w:val="left"/>
      <w:pPr>
        <w:ind w:left="7758" w:hanging="360"/>
      </w:pPr>
    </w:lvl>
    <w:lvl w:ilvl="8" w:tentative="0">
      <w:start w:val="1"/>
      <w:numFmt w:val="lowerRoman"/>
      <w:lvlText w:val="%9."/>
      <w:lvlJc w:val="right"/>
      <w:pPr>
        <w:ind w:left="8478" w:hanging="180"/>
      </w:pPr>
    </w:lvl>
  </w:abstractNum>
  <w:abstractNum w:abstractNumId="1">
    <w:nsid w:val="41AB7A59"/>
    <w:multiLevelType w:val="multilevel"/>
    <w:tmpl w:val="41AB7A5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B0A99"/>
    <w:multiLevelType w:val="multilevel"/>
    <w:tmpl w:val="52BB0A9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55F1A"/>
    <w:multiLevelType w:val="multilevel"/>
    <w:tmpl w:val="68055F1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54"/>
    <w:rsid w:val="000428E5"/>
    <w:rsid w:val="0007199B"/>
    <w:rsid w:val="001004BB"/>
    <w:rsid w:val="001664AB"/>
    <w:rsid w:val="001A6054"/>
    <w:rsid w:val="001F212E"/>
    <w:rsid w:val="001F49FC"/>
    <w:rsid w:val="001F558B"/>
    <w:rsid w:val="00220CD7"/>
    <w:rsid w:val="002C77C8"/>
    <w:rsid w:val="002D2487"/>
    <w:rsid w:val="00387D39"/>
    <w:rsid w:val="00447447"/>
    <w:rsid w:val="00533924"/>
    <w:rsid w:val="0085367A"/>
    <w:rsid w:val="00864ED4"/>
    <w:rsid w:val="008B7385"/>
    <w:rsid w:val="008F2DF7"/>
    <w:rsid w:val="009748DC"/>
    <w:rsid w:val="00A3006A"/>
    <w:rsid w:val="00AF55EC"/>
    <w:rsid w:val="00B349B3"/>
    <w:rsid w:val="00B6058E"/>
    <w:rsid w:val="00CC10CE"/>
    <w:rsid w:val="00CE406E"/>
    <w:rsid w:val="00D70830"/>
    <w:rsid w:val="00D77160"/>
    <w:rsid w:val="00DB4748"/>
    <w:rsid w:val="137764BB"/>
    <w:rsid w:val="58F678DF"/>
    <w:rsid w:val="608E63EC"/>
    <w:rsid w:val="668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Times New Roman" w:cs="Times New Roman"/>
      <w:color w:val="000000"/>
      <w:sz w:val="20"/>
      <w:szCs w:val="20"/>
      <w:lang w:val="hr-HR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link w:val="5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ar-SA" w:bidi="ar-SA"/>
    </w:rPr>
  </w:style>
  <w:style w:type="character" w:customStyle="1" w:styleId="5">
    <w:name w:val="Bez proreda Char"/>
    <w:link w:val="4"/>
    <w:uiPriority w:val="1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6">
    <w:name w:val="List Paragraph"/>
    <w:basedOn w:val="1"/>
    <w:qFormat/>
    <w:uiPriority w:val="34"/>
    <w:pPr>
      <w:widowControl/>
      <w:suppressAutoHyphens w:val="0"/>
      <w:ind w:left="720"/>
      <w:contextualSpacing/>
    </w:pPr>
    <w:rPr>
      <w:rFonts w:ascii="Calibri" w:hAnsi="Calibri" w:eastAsia="Calibri" w:cs="Arial"/>
      <w:color w:val="auto"/>
      <w:lang w:eastAsia="hr-HR"/>
    </w:rPr>
  </w:style>
  <w:style w:type="paragraph" w:customStyle="1" w:styleId="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hr-HR" w:eastAsia="hr-HR" w:bidi="ar-SA"/>
    </w:rPr>
  </w:style>
  <w:style w:type="paragraph" w:customStyle="1" w:styleId="8">
    <w:name w:val="msonormal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color w:val="auto"/>
      <w:sz w:val="24"/>
      <w:szCs w:val="24"/>
      <w:lang w:eastAsia="hr-HR"/>
    </w:rPr>
  </w:style>
  <w:style w:type="character" w:customStyle="1" w:styleId="9">
    <w:name w:val="bold"/>
    <w:basedOn w:val="2"/>
    <w:uiPriority w:val="0"/>
  </w:style>
  <w:style w:type="paragraph" w:customStyle="1" w:styleId="10">
    <w:name w:val="t-9"/>
    <w:basedOn w:val="1"/>
    <w:uiPriority w:val="0"/>
    <w:pPr>
      <w:widowControl/>
      <w:suppressAutoHyphens w:val="0"/>
      <w:spacing w:before="100" w:beforeAutospacing="1" w:after="100" w:afterAutospacing="1"/>
    </w:pPr>
    <w:rPr>
      <w:color w:val="auto"/>
      <w:sz w:val="24"/>
      <w:szCs w:val="24"/>
      <w:lang w:eastAsia="hr-HR"/>
    </w:rPr>
  </w:style>
  <w:style w:type="paragraph" w:customStyle="1" w:styleId="11">
    <w:name w:val="WW-Default"/>
    <w:basedOn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60A9F7-B30B-4248-9A5D-42B8C387F0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2123</Words>
  <Characters>12107</Characters>
  <Lines>100</Lines>
  <Paragraphs>28</Paragraphs>
  <TotalTime>0</TotalTime>
  <ScaleCrop>false</ScaleCrop>
  <LinksUpToDate>false</LinksUpToDate>
  <CharactersWithSpaces>14202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2022-02-18T08:16:00Z</dcterms:created>
  <dc:creator>Mirelica</dc:creator>
  <cp:lastModifiedBy>HT-ICT</cp:lastModifiedBy>
  <cp:lastPrinted>2022-03-01T07:02:28Z</cp:lastPrinted>
  <dcterms:modified xsi:type="dcterms:W3CDTF">2022-03-01T07:02:37Z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2B5B00AD1EAC47D8B1B9AD4ED4FBAC04</vt:lpwstr>
  </property>
</Properties>
</file>