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png" ContentType="image/png"/>
  <Default Extension="jpeg" ContentType="image/jpeg"/>
  <Default Extension="JPG" ContentType="image/.jp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theme/themeOverride1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4"/>
        <w:rPr>
          <w:lang w:val="hr-HR"/>
        </w:rPr>
      </w:pPr>
      <w:r>
        <w:rPr>
          <w:lang w:val="hr-HR"/>
        </w:rPr>
        <w:t>REPUBLIKA HRVATSKA</w:t>
      </w:r>
      <w:r>
        <w:rPr>
          <w:lang w:val="hr-HR"/>
        </w:rPr>
        <w:br w:type="textWrapping"/>
      </w:r>
      <w:r>
        <w:rPr>
          <w:lang w:val="hr-HR"/>
        </w:rPr>
        <w:t>VUKOVARSKO-SRIJEMSKA ŽUPANIJA</w:t>
      </w:r>
    </w:p>
    <w:p>
      <w:pPr>
        <w:pStyle w:val="24"/>
        <w:jc w:val="both"/>
        <w:rPr>
          <w:lang w:val="hr-HR"/>
        </w:rPr>
      </w:pPr>
      <w:r>
        <w:rPr>
          <w:lang w:val="hr-HR"/>
        </w:rPr>
        <w:t>OPĆINA BABINA GREDA</w:t>
      </w:r>
    </w:p>
    <w:p>
      <w:pPr>
        <w:pStyle w:val="24"/>
        <w:jc w:val="both"/>
        <w:rPr>
          <w:lang w:val="hr-HR"/>
        </w:rPr>
      </w:pPr>
      <w:r>
        <w:rPr>
          <w:lang w:val="hr-HR"/>
        </w:rPr>
        <w:t>OPĆINSKO VIJEĆE</w:t>
      </w:r>
    </w:p>
    <w:p>
      <w:pPr>
        <w:pStyle w:val="24"/>
        <w:jc w:val="both"/>
        <w:rPr>
          <w:rFonts w:hint="default"/>
          <w:lang w:val="hr-HR"/>
        </w:rPr>
      </w:pPr>
      <w:r>
        <w:rPr>
          <w:lang w:val="hr-HR"/>
        </w:rPr>
        <w:t>KLASA: 61</w:t>
      </w:r>
      <w:r>
        <w:rPr>
          <w:rFonts w:hint="default"/>
          <w:lang w:val="hr-HR"/>
        </w:rPr>
        <w:t>1</w:t>
      </w:r>
      <w:r>
        <w:rPr>
          <w:lang w:val="hr-HR"/>
        </w:rPr>
        <w:t>-0</w:t>
      </w:r>
      <w:r>
        <w:rPr>
          <w:rFonts w:hint="default"/>
          <w:lang w:val="hr-HR"/>
        </w:rPr>
        <w:t>1</w:t>
      </w:r>
      <w:r>
        <w:rPr>
          <w:lang w:val="hr-HR"/>
        </w:rPr>
        <w:t>/2</w:t>
      </w:r>
      <w:r>
        <w:rPr>
          <w:rFonts w:hint="default"/>
          <w:lang w:val="hr-HR"/>
        </w:rPr>
        <w:t>2</w:t>
      </w:r>
      <w:r>
        <w:rPr>
          <w:lang w:val="hr-HR"/>
        </w:rPr>
        <w:t>-01/</w:t>
      </w:r>
      <w:r>
        <w:rPr>
          <w:rFonts w:hint="default"/>
          <w:lang w:val="hr-HR"/>
        </w:rPr>
        <w:t>5</w:t>
      </w:r>
    </w:p>
    <w:p>
      <w:pPr>
        <w:pStyle w:val="24"/>
        <w:jc w:val="both"/>
        <w:rPr>
          <w:rFonts w:hint="default"/>
          <w:lang w:val="hr-HR"/>
        </w:rPr>
      </w:pPr>
      <w:r>
        <w:rPr>
          <w:lang w:val="hr-HR"/>
        </w:rPr>
        <w:t>URBROJ: 2</w:t>
      </w:r>
      <w:r>
        <w:rPr>
          <w:rFonts w:hint="default"/>
          <w:lang w:val="hr-HR"/>
        </w:rPr>
        <w:t>196-7-01-22-1</w:t>
      </w:r>
    </w:p>
    <w:p>
      <w:pPr>
        <w:pStyle w:val="24"/>
        <w:jc w:val="both"/>
        <w:rPr>
          <w:lang w:val="hr-HR"/>
        </w:rPr>
      </w:pPr>
      <w:r>
        <w:rPr>
          <w:lang w:val="hr-HR"/>
        </w:rPr>
        <w:t xml:space="preserve">Babina Greda, </w:t>
      </w:r>
      <w:r>
        <w:rPr>
          <w:rFonts w:hint="default"/>
          <w:lang w:val="hr-HR"/>
        </w:rPr>
        <w:t>26</w:t>
      </w:r>
      <w:r>
        <w:rPr>
          <w:lang w:val="hr-HR"/>
        </w:rPr>
        <w:t xml:space="preserve">. </w:t>
      </w:r>
      <w:r>
        <w:rPr>
          <w:rFonts w:hint="default"/>
          <w:lang w:val="hr-HR"/>
        </w:rPr>
        <w:t xml:space="preserve">veljače </w:t>
      </w:r>
      <w:r>
        <w:rPr>
          <w:lang w:val="hr-HR"/>
        </w:rPr>
        <w:t>202</w:t>
      </w:r>
      <w:r>
        <w:rPr>
          <w:rFonts w:hint="default"/>
          <w:lang w:val="hr-HR"/>
        </w:rPr>
        <w:t>2</w:t>
      </w:r>
      <w:r>
        <w:rPr>
          <w:lang w:val="hr-HR"/>
        </w:rPr>
        <w:t xml:space="preserve">. godine </w:t>
      </w:r>
    </w:p>
    <w:p>
      <w:pPr>
        <w:pStyle w:val="24"/>
        <w:jc w:val="both"/>
        <w:rPr>
          <w:lang w:val="hr-HR"/>
        </w:rPr>
      </w:pPr>
    </w:p>
    <w:p>
      <w:pPr>
        <w:pStyle w:val="24"/>
        <w:jc w:val="both"/>
        <w:rPr>
          <w:lang w:val="hr-HR"/>
        </w:rPr>
      </w:pPr>
    </w:p>
    <w:p>
      <w:pPr>
        <w:pStyle w:val="24"/>
        <w:jc w:val="both"/>
        <w:rPr>
          <w:lang w:val="hr-HR"/>
        </w:rPr>
      </w:pPr>
    </w:p>
    <w:p>
      <w:pPr>
        <w:pStyle w:val="24"/>
        <w:jc w:val="both"/>
        <w:rPr>
          <w:lang w:val="hr-HR"/>
        </w:rPr>
      </w:pPr>
      <w:r>
        <w:rPr>
          <w:lang w:val="hr-HR"/>
        </w:rPr>
        <w:t xml:space="preserve">Na temelju članka 18. Statuta Općine Babina Greda </w:t>
      </w:r>
      <w:r>
        <w:rPr>
          <w:bCs/>
          <w:lang w:eastAsia="hr-HR"/>
        </w:rPr>
        <w:t>(„Sl. Vjesnik Vukovarsko-srijemske županije“ br. 11/09,04/13, 03/14, 01/18, 13/18, 27/18, pročišćeni tekst, 21A/19</w:t>
      </w:r>
      <w:r>
        <w:rPr>
          <w:rFonts w:hint="default"/>
          <w:bCs/>
          <w:lang w:val="en-US" w:eastAsia="hr-HR"/>
        </w:rPr>
        <w:t xml:space="preserve">, </w:t>
      </w:r>
      <w:r>
        <w:rPr>
          <w:bCs/>
          <w:lang w:eastAsia="hr-HR"/>
        </w:rPr>
        <w:t>03/20</w:t>
      </w:r>
      <w:r>
        <w:rPr>
          <w:rFonts w:hint="default"/>
          <w:bCs/>
          <w:lang w:val="en-US" w:eastAsia="hr-HR"/>
        </w:rPr>
        <w:t xml:space="preserve"> i 04/21</w:t>
      </w:r>
      <w:r>
        <w:rPr>
          <w:bCs/>
          <w:lang w:eastAsia="hr-HR"/>
        </w:rPr>
        <w:t xml:space="preserve">) i </w:t>
      </w:r>
      <w:r>
        <w:rPr>
          <w:bCs/>
        </w:rPr>
        <w:t>članka 45. Poslovnika o radu Općinskog vijeća Općine Babina Greda („Sl. Vjesnik Vukovarsko-srijemske županije“ br. 16/09</w:t>
      </w:r>
      <w:r>
        <w:rPr>
          <w:rFonts w:hint="default"/>
          <w:bCs/>
          <w:lang w:val="hr-HR"/>
        </w:rPr>
        <w:t xml:space="preserve">, </w:t>
      </w:r>
      <w:r>
        <w:rPr>
          <w:bCs/>
        </w:rPr>
        <w:t>01/18</w:t>
      </w:r>
      <w:r>
        <w:rPr>
          <w:rFonts w:hint="default"/>
          <w:bCs/>
          <w:lang w:val="hr-HR"/>
        </w:rPr>
        <w:t xml:space="preserve"> i 04/21</w:t>
      </w:r>
      <w:r>
        <w:rPr>
          <w:bCs/>
        </w:rPr>
        <w:t>)</w:t>
      </w:r>
      <w:r>
        <w:rPr>
          <w:lang w:val="hr-HR"/>
        </w:rPr>
        <w:t xml:space="preserve"> na </w:t>
      </w:r>
      <w:r>
        <w:rPr>
          <w:rFonts w:hint="default"/>
          <w:lang w:val="hr-HR"/>
        </w:rPr>
        <w:t>08</w:t>
      </w:r>
      <w:r>
        <w:rPr>
          <w:lang w:val="hr-HR"/>
        </w:rPr>
        <w:t xml:space="preserve">. sjednici održanoj dana </w:t>
      </w:r>
      <w:r>
        <w:rPr>
          <w:rFonts w:hint="default"/>
          <w:lang w:val="hr-HR"/>
        </w:rPr>
        <w:t>26</w:t>
      </w:r>
      <w:r>
        <w:rPr>
          <w:lang w:val="hr-HR"/>
        </w:rPr>
        <w:t xml:space="preserve">. </w:t>
      </w:r>
      <w:r>
        <w:rPr>
          <w:rFonts w:hint="default"/>
          <w:lang w:val="hr-HR"/>
        </w:rPr>
        <w:t xml:space="preserve">veljače </w:t>
      </w:r>
      <w:r>
        <w:rPr>
          <w:lang w:val="hr-HR"/>
        </w:rPr>
        <w:t>202</w:t>
      </w:r>
      <w:r>
        <w:rPr>
          <w:rFonts w:hint="default"/>
          <w:lang w:val="hr-HR"/>
        </w:rPr>
        <w:t>2</w:t>
      </w:r>
      <w:r>
        <w:rPr>
          <w:lang w:val="hr-HR"/>
        </w:rPr>
        <w:t>. godine,  Općinsko vijeće Općine Babina Greda, donijelo je</w:t>
      </w:r>
    </w:p>
    <w:p>
      <w:pPr>
        <w:pStyle w:val="24"/>
        <w:jc w:val="both"/>
        <w:rPr>
          <w:lang w:val="hr-HR"/>
        </w:rPr>
      </w:pPr>
    </w:p>
    <w:p>
      <w:pPr>
        <w:pStyle w:val="24"/>
        <w:jc w:val="both"/>
        <w:rPr>
          <w:lang w:val="hr-HR"/>
        </w:rPr>
      </w:pPr>
      <w:r>
        <w:rPr>
          <w:lang w:val="hr-HR"/>
        </w:rPr>
        <w:t xml:space="preserve">                                      </w:t>
      </w:r>
    </w:p>
    <w:p>
      <w:pPr>
        <w:pStyle w:val="24"/>
        <w:jc w:val="center"/>
        <w:rPr>
          <w:lang w:val="hr-HR"/>
        </w:rPr>
      </w:pPr>
      <w:r>
        <w:rPr>
          <w:lang w:val="hr-HR"/>
        </w:rPr>
        <w:t>O D  L  U  K  U</w:t>
      </w:r>
    </w:p>
    <w:p>
      <w:pPr>
        <w:pStyle w:val="24"/>
        <w:jc w:val="center"/>
        <w:rPr>
          <w:lang w:val="hr-HR"/>
        </w:rPr>
      </w:pPr>
    </w:p>
    <w:p>
      <w:pPr>
        <w:pStyle w:val="24"/>
        <w:jc w:val="center"/>
        <w:rPr>
          <w:lang w:val="hr-HR"/>
        </w:rPr>
      </w:pPr>
    </w:p>
    <w:p>
      <w:pPr>
        <w:pStyle w:val="24"/>
        <w:jc w:val="center"/>
        <w:rPr>
          <w:lang w:val="hr-HR"/>
        </w:rPr>
      </w:pPr>
      <w:r>
        <w:rPr>
          <w:lang w:val="hr-HR"/>
        </w:rPr>
        <w:t>I.</w:t>
      </w:r>
    </w:p>
    <w:p>
      <w:pPr>
        <w:pStyle w:val="24"/>
        <w:jc w:val="both"/>
        <w:rPr>
          <w:lang w:val="hr-HR"/>
        </w:rPr>
      </w:pPr>
    </w:p>
    <w:p>
      <w:pPr>
        <w:pStyle w:val="24"/>
        <w:ind w:firstLine="708" w:firstLineChars="0"/>
        <w:jc w:val="both"/>
        <w:rPr>
          <w:lang w:val="hr-HR"/>
        </w:rPr>
      </w:pPr>
      <w:r>
        <w:rPr>
          <w:lang w:val="hr-HR"/>
        </w:rPr>
        <w:t xml:space="preserve">Prihvaća se </w:t>
      </w:r>
      <w:r>
        <w:rPr>
          <w:rFonts w:hint="default"/>
          <w:lang w:val="hr-HR"/>
        </w:rPr>
        <w:t>i</w:t>
      </w:r>
      <w:r>
        <w:rPr>
          <w:lang w:val="hr-HR"/>
        </w:rPr>
        <w:t xml:space="preserve">zvješće o radu  </w:t>
      </w:r>
      <w:r>
        <w:rPr>
          <w:rFonts w:hint="default"/>
          <w:lang w:val="hr-HR"/>
        </w:rPr>
        <w:t xml:space="preserve">i financijsko izvješće </w:t>
      </w:r>
      <w:r>
        <w:rPr>
          <w:lang w:val="hr-HR"/>
        </w:rPr>
        <w:t>Općinske narodne knjižnice Babina Greda za 202</w:t>
      </w:r>
      <w:r>
        <w:rPr>
          <w:rFonts w:hint="default"/>
          <w:lang w:val="hr-HR"/>
        </w:rPr>
        <w:t>1</w:t>
      </w:r>
      <w:r>
        <w:rPr>
          <w:lang w:val="hr-HR"/>
        </w:rPr>
        <w:t>. godinu.</w:t>
      </w:r>
    </w:p>
    <w:p>
      <w:pPr>
        <w:pStyle w:val="24"/>
        <w:jc w:val="both"/>
        <w:rPr>
          <w:lang w:val="hr-HR"/>
        </w:rPr>
      </w:pPr>
    </w:p>
    <w:p>
      <w:pPr>
        <w:pStyle w:val="24"/>
        <w:jc w:val="both"/>
        <w:rPr>
          <w:lang w:val="hr-HR"/>
        </w:rPr>
      </w:pPr>
    </w:p>
    <w:p>
      <w:pPr>
        <w:pStyle w:val="24"/>
        <w:jc w:val="both"/>
        <w:rPr>
          <w:lang w:val="hr-HR"/>
        </w:rPr>
      </w:pPr>
    </w:p>
    <w:p>
      <w:pPr>
        <w:pStyle w:val="24"/>
        <w:jc w:val="center"/>
        <w:rPr>
          <w:lang w:val="hr-HR"/>
        </w:rPr>
      </w:pPr>
      <w:r>
        <w:rPr>
          <w:lang w:val="hr-HR"/>
        </w:rPr>
        <w:t>II.</w:t>
      </w:r>
    </w:p>
    <w:p>
      <w:pPr>
        <w:pStyle w:val="24"/>
        <w:jc w:val="both"/>
        <w:rPr>
          <w:lang w:val="hr-HR"/>
        </w:rPr>
      </w:pPr>
    </w:p>
    <w:p>
      <w:pPr>
        <w:pStyle w:val="24"/>
        <w:ind w:firstLine="708" w:firstLineChars="0"/>
        <w:jc w:val="both"/>
        <w:rPr>
          <w:lang w:val="hr-HR"/>
        </w:rPr>
      </w:pPr>
      <w:r>
        <w:rPr>
          <w:lang w:val="hr-HR"/>
        </w:rPr>
        <w:t>Navedeno Izvješće iz članka I</w:t>
      </w:r>
      <w:r>
        <w:rPr>
          <w:rFonts w:hint="default"/>
          <w:lang w:val="hr-HR"/>
        </w:rPr>
        <w:t>.</w:t>
      </w:r>
      <w:r>
        <w:rPr>
          <w:lang w:val="hr-HR"/>
        </w:rPr>
        <w:t>, čini sastavni dio ove Odluke.</w:t>
      </w:r>
    </w:p>
    <w:p>
      <w:pPr>
        <w:pStyle w:val="24"/>
        <w:jc w:val="both"/>
        <w:rPr>
          <w:lang w:val="hr-HR"/>
        </w:rPr>
      </w:pPr>
    </w:p>
    <w:p>
      <w:pPr>
        <w:pStyle w:val="24"/>
        <w:jc w:val="both"/>
        <w:rPr>
          <w:lang w:val="hr-HR"/>
        </w:rPr>
      </w:pPr>
    </w:p>
    <w:p>
      <w:pPr>
        <w:pStyle w:val="24"/>
        <w:jc w:val="both"/>
        <w:rPr>
          <w:lang w:val="hr-HR"/>
        </w:rPr>
      </w:pPr>
    </w:p>
    <w:p>
      <w:pPr>
        <w:pStyle w:val="24"/>
        <w:jc w:val="center"/>
        <w:rPr>
          <w:lang w:val="hr-HR"/>
        </w:rPr>
      </w:pPr>
      <w:r>
        <w:rPr>
          <w:lang w:val="hr-HR"/>
        </w:rPr>
        <w:t>III.</w:t>
      </w:r>
    </w:p>
    <w:p>
      <w:pPr>
        <w:pStyle w:val="24"/>
        <w:jc w:val="both"/>
        <w:rPr>
          <w:lang w:val="hr-HR"/>
        </w:rPr>
      </w:pPr>
    </w:p>
    <w:p>
      <w:pPr>
        <w:pStyle w:val="24"/>
        <w:jc w:val="both"/>
        <w:rPr>
          <w:lang w:val="hr-HR"/>
        </w:rPr>
      </w:pPr>
      <w:r>
        <w:rPr>
          <w:lang w:val="hr-HR"/>
        </w:rPr>
        <w:t xml:space="preserve"> </w:t>
      </w:r>
      <w:r>
        <w:rPr>
          <w:rFonts w:hint="default"/>
          <w:lang w:val="hr-HR"/>
        </w:rPr>
        <w:tab/>
      </w:r>
      <w:r>
        <w:rPr>
          <w:lang w:val="hr-HR"/>
        </w:rPr>
        <w:t>Ova Odluka stupa na snagu danom donošenja.</w:t>
      </w:r>
    </w:p>
    <w:p>
      <w:pPr>
        <w:pStyle w:val="24"/>
        <w:jc w:val="both"/>
        <w:rPr>
          <w:lang w:val="hr-HR"/>
        </w:rPr>
      </w:pPr>
    </w:p>
    <w:p>
      <w:pPr>
        <w:pStyle w:val="24"/>
        <w:jc w:val="both"/>
        <w:rPr>
          <w:lang w:val="hr-HR"/>
        </w:rPr>
      </w:pPr>
    </w:p>
    <w:p>
      <w:pPr>
        <w:pStyle w:val="24"/>
        <w:jc w:val="both"/>
        <w:rPr>
          <w:lang w:val="hr-HR"/>
        </w:rPr>
      </w:pPr>
    </w:p>
    <w:p>
      <w:pPr>
        <w:pStyle w:val="24"/>
        <w:jc w:val="both"/>
        <w:rPr>
          <w:lang w:val="hr-HR"/>
        </w:rPr>
      </w:pPr>
    </w:p>
    <w:p>
      <w:pPr>
        <w:pStyle w:val="24"/>
        <w:rPr>
          <w:lang w:val="hr-HR"/>
        </w:rPr>
      </w:pPr>
      <w:r>
        <w:rPr>
          <w:lang w:val="hr-HR"/>
        </w:rPr>
        <w:t xml:space="preserve">                                                                                                         Predsjednik</w:t>
      </w:r>
    </w:p>
    <w:p>
      <w:pPr>
        <w:pStyle w:val="24"/>
        <w:rPr>
          <w:lang w:val="hr-HR"/>
        </w:rPr>
      </w:pPr>
      <w:r>
        <w:rPr>
          <w:lang w:val="hr-HR"/>
        </w:rPr>
        <w:t xml:space="preserve">                                                                                                     Općinskog vijeća:</w:t>
      </w:r>
    </w:p>
    <w:p>
      <w:pPr>
        <w:pStyle w:val="24"/>
        <w:rPr>
          <w:rFonts w:hint="default"/>
          <w:lang w:val="hr-HR"/>
        </w:rPr>
      </w:pPr>
      <w:r>
        <w:rPr>
          <w:lang w:val="hr-HR"/>
        </w:rPr>
        <w:t xml:space="preserve">                                                                     </w:t>
      </w:r>
      <w:r>
        <w:rPr>
          <w:lang w:val="hr-HR"/>
        </w:rPr>
        <w:br w:type="textWrapping"/>
      </w:r>
      <w:r>
        <w:rPr>
          <w:lang w:val="hr-HR"/>
        </w:rPr>
        <w:t xml:space="preserve">                                                                                                       </w:t>
      </w:r>
      <w:r>
        <w:rPr>
          <w:rFonts w:hint="default"/>
          <w:lang w:val="hr-HR"/>
        </w:rPr>
        <w:t>Tomo Đaković</w:t>
      </w:r>
    </w:p>
    <w:p>
      <w:pPr>
        <w:pStyle w:val="24"/>
        <w:jc w:val="right"/>
        <w:rPr>
          <w:lang w:val="hr-HR"/>
        </w:rPr>
      </w:pPr>
    </w:p>
    <w:p>
      <w:pPr>
        <w:pStyle w:val="24"/>
        <w:jc w:val="both"/>
        <w:rPr>
          <w:lang w:val="hr-HR"/>
        </w:rPr>
      </w:pPr>
    </w:p>
    <w:p>
      <w:pPr>
        <w:pStyle w:val="24"/>
        <w:jc w:val="both"/>
        <w:rPr>
          <w:lang w:val="hr-HR"/>
        </w:rPr>
      </w:pPr>
    </w:p>
    <w:p>
      <w:pPr>
        <w:pStyle w:val="24"/>
        <w:jc w:val="both"/>
        <w:rPr>
          <w:lang w:val="hr-HR"/>
        </w:rPr>
      </w:pPr>
      <w:r>
        <w:rPr>
          <w:lang w:val="hr-HR"/>
        </w:rPr>
        <w:t>Dostaviti:</w:t>
      </w:r>
    </w:p>
    <w:p>
      <w:pPr>
        <w:pStyle w:val="24"/>
        <w:numPr>
          <w:ilvl w:val="0"/>
          <w:numId w:val="1"/>
        </w:num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Općinska narodna knjižnica, Babina Greda</w:t>
      </w:r>
      <w:r>
        <w:rPr>
          <w:rFonts w:hint="default"/>
          <w:sz w:val="24"/>
          <w:szCs w:val="24"/>
          <w:lang w:val="hr-HR"/>
        </w:rPr>
        <w:t>,</w:t>
      </w:r>
    </w:p>
    <w:p>
      <w:pPr>
        <w:pStyle w:val="24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  <w:lang w:val="hr-HR"/>
        </w:rPr>
        <w:t>Pismohrana</w:t>
      </w:r>
      <w:r>
        <w:rPr>
          <w:rFonts w:hint="default"/>
          <w:sz w:val="24"/>
          <w:szCs w:val="24"/>
          <w:lang w:val="hr-HR"/>
        </w:rPr>
        <w:t>.</w:t>
      </w:r>
    </w:p>
    <w:p>
      <w:pPr>
        <w:rPr>
          <w:sz w:val="48"/>
          <w:szCs w:val="48"/>
        </w:rPr>
      </w:pPr>
    </w:p>
    <w:p>
      <w:pPr>
        <w:rPr>
          <w:sz w:val="48"/>
          <w:szCs w:val="48"/>
        </w:rPr>
      </w:pPr>
    </w:p>
    <w:p>
      <w:pPr>
        <w:rPr>
          <w:sz w:val="48"/>
          <w:szCs w:val="48"/>
        </w:rPr>
      </w:pPr>
    </w:p>
    <w:p>
      <w:pPr>
        <w:rPr>
          <w:sz w:val="48"/>
          <w:szCs w:val="48"/>
        </w:rPr>
      </w:pPr>
    </w:p>
    <w:p>
      <w:pPr>
        <w:rPr>
          <w:sz w:val="48"/>
          <w:szCs w:val="48"/>
        </w:rPr>
      </w:pPr>
    </w:p>
    <w:p>
      <w:pPr>
        <w:jc w:val="center"/>
        <w:rPr>
          <w:color w:val="F4B183" w:themeColor="accent2" w:themeTint="99"/>
          <w:sz w:val="48"/>
          <w:szCs w:val="48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  <w:r>
        <w:rPr>
          <w:color w:val="F4B183" w:themeColor="accent2" w:themeTint="99"/>
          <w:sz w:val="48"/>
          <w:szCs w:val="48"/>
          <w:lang w:eastAsia="hr-HR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  <w:drawing>
          <wp:inline distT="0" distB="0" distL="0" distR="0">
            <wp:extent cx="2066925" cy="2666365"/>
            <wp:effectExtent l="0" t="0" r="9525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66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outline/>
          <w:color w:val="C55A11" w:themeColor="accent2" w:themeShade="BF"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b/>
          <w:outline/>
          <w:color w:val="C55A11" w:themeColor="accent2" w:themeShade="BF"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GODIŠNJE IZVJEŠĆE O RADU</w:t>
      </w:r>
    </w:p>
    <w:p>
      <w:pPr>
        <w:jc w:val="center"/>
        <w:rPr>
          <w:b/>
          <w:outline/>
          <w:color w:val="C55A11" w:themeColor="accent2" w:themeShade="BF"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b/>
          <w:outline/>
          <w:color w:val="C55A11" w:themeColor="accent2" w:themeShade="BF"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2021.</w:t>
      </w:r>
    </w:p>
    <w:p>
      <w:pPr>
        <w:rPr>
          <w:b/>
          <w:color w:val="FFFFFF"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>
      <w:pPr>
        <w:rPr>
          <w:rFonts w:ascii="Times New Roman" w:hAnsi="Times New Roman" w:cs="Times New Roman"/>
          <w:color w:val="1F4E79" w:themeColor="accent1" w:themeShade="80"/>
          <w:sz w:val="48"/>
          <w:szCs w:val="48"/>
        </w:rPr>
      </w:pPr>
    </w:p>
    <w:p>
      <w:pPr>
        <w:rPr>
          <w:rFonts w:ascii="Times New Roman" w:hAnsi="Times New Roman" w:cs="Times New Roman"/>
          <w:color w:val="F4B183" w:themeColor="accent2" w:themeTint="99"/>
          <w:sz w:val="48"/>
          <w:szCs w:val="48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Babina Greda, 1. veljače 2022.</w:t>
      </w:r>
    </w:p>
    <w:p>
      <w:pPr>
        <w:rPr>
          <w:color w:val="F4B183" w:themeColor="accent2" w:themeTint="99"/>
          <w:sz w:val="48"/>
          <w:szCs w:val="48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shd w:val="clear" w:color="auto" w:fill="FFFFFF" w:themeFill="background1"/>
        <w:jc w:val="right"/>
        <w:rPr>
          <w:rFonts w:ascii="Times New Roman" w:hAnsi="Times New Roman" w:cs="Times New Roman"/>
          <w:outline/>
          <w:color w:val="843C0B" w:themeColor="accent2" w:themeShade="80"/>
          <w:sz w:val="48"/>
          <w:szCs w:val="4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outline/>
          <w:color w:val="843C0B" w:themeColor="accent2" w:themeShade="80"/>
          <w:sz w:val="48"/>
          <w:szCs w:val="4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Osnovni podaci </w:t>
      </w:r>
    </w:p>
    <w:p>
      <w:pPr>
        <w:rPr>
          <w:rFonts w:ascii="Times New Roman" w:hAnsi="Times New Roman" w:cs="Times New Roman"/>
          <w:color w:val="843C0B" w:themeColor="accent2" w:themeShade="80"/>
          <w:sz w:val="48"/>
          <w:szCs w:val="48"/>
        </w:rPr>
      </w:pPr>
      <w:r>
        <w:rPr>
          <w:rFonts w:ascii="Times New Roman" w:hAnsi="Times New Roman" w:cs="Times New Roman"/>
          <w:color w:val="843C0B" w:themeColor="accent2" w:themeShade="80"/>
          <w:sz w:val="48"/>
          <w:szCs w:val="48"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1428750</wp:posOffset>
            </wp:positionV>
            <wp:extent cx="2990850" cy="2238375"/>
            <wp:effectExtent l="0" t="0" r="0" b="9525"/>
            <wp:wrapThrough wrapText="bothSides">
              <wp:wrapPolygon>
                <wp:start x="0" y="0"/>
                <wp:lineTo x="0" y="21508"/>
                <wp:lineTo x="21462" y="21508"/>
                <wp:lineTo x="21462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right"/>
        <w:rPr>
          <w:rStyle w:val="11"/>
          <w:rFonts w:ascii="Times New Roman" w:hAnsi="Times New Roman" w:cs="Times New Roman"/>
          <w:color w:val="843C0B" w:themeColor="accent2" w:themeShade="80"/>
          <w:sz w:val="28"/>
          <w:szCs w:val="28"/>
        </w:rPr>
      </w:pPr>
      <w:r>
        <w:rPr>
          <w:rStyle w:val="11"/>
          <w:rFonts w:ascii="Times New Roman" w:hAnsi="Times New Roman" w:cs="Times New Roman"/>
          <w:color w:val="843C0B" w:themeColor="accent2" w:themeShade="80"/>
          <w:sz w:val="28"/>
          <w:szCs w:val="28"/>
        </w:rPr>
        <w:t xml:space="preserve">Općinska narodna knjižnica </w:t>
      </w:r>
    </w:p>
    <w:p>
      <w:pPr>
        <w:jc w:val="right"/>
        <w:rPr>
          <w:rStyle w:val="11"/>
          <w:rFonts w:ascii="Times New Roman" w:hAnsi="Times New Roman" w:cs="Times New Roman"/>
          <w:color w:val="843C0B" w:themeColor="accent2" w:themeShade="80"/>
          <w:sz w:val="28"/>
          <w:szCs w:val="28"/>
        </w:rPr>
      </w:pPr>
      <w:r>
        <w:rPr>
          <w:rStyle w:val="11"/>
          <w:rFonts w:ascii="Times New Roman" w:hAnsi="Times New Roman" w:cs="Times New Roman"/>
          <w:color w:val="843C0B" w:themeColor="accent2" w:themeShade="80"/>
          <w:sz w:val="28"/>
          <w:szCs w:val="28"/>
        </w:rPr>
        <w:t>Babina Greda</w:t>
      </w:r>
    </w:p>
    <w:p>
      <w:pPr>
        <w:jc w:val="right"/>
        <w:rPr>
          <w:rFonts w:ascii="Times New Roman" w:hAnsi="Times New Roman" w:cs="Times New Roman"/>
          <w:color w:val="843C0B" w:themeColor="accent2" w:themeShade="80"/>
          <w:sz w:val="24"/>
          <w:szCs w:val="24"/>
        </w:rPr>
      </w:pPr>
      <w:r>
        <w:rPr>
          <w:rFonts w:ascii="Times New Roman" w:hAnsi="Times New Roman" w:cs="Times New Roman"/>
          <w:color w:val="843C0B" w:themeColor="accent2" w:themeShade="80"/>
          <w:sz w:val="24"/>
          <w:szCs w:val="24"/>
        </w:rPr>
        <w:t>Ulica Vladimira Nazora 1</w:t>
      </w:r>
    </w:p>
    <w:p>
      <w:pPr>
        <w:jc w:val="right"/>
        <w:rPr>
          <w:rFonts w:ascii="Times New Roman" w:hAnsi="Times New Roman" w:cs="Times New Roman"/>
          <w:color w:val="843C0B" w:themeColor="accent2" w:themeShade="80"/>
          <w:sz w:val="24"/>
          <w:szCs w:val="24"/>
        </w:rPr>
      </w:pPr>
      <w:r>
        <w:rPr>
          <w:rFonts w:ascii="Times New Roman" w:hAnsi="Times New Roman" w:cs="Times New Roman"/>
          <w:color w:val="843C0B" w:themeColor="accent2" w:themeShade="80"/>
          <w:sz w:val="24"/>
          <w:szCs w:val="24"/>
        </w:rPr>
        <w:t>32276 Babina Greda</w:t>
      </w:r>
    </w:p>
    <w:p>
      <w:pPr>
        <w:jc w:val="right"/>
        <w:rPr>
          <w:rFonts w:ascii="Times New Roman" w:hAnsi="Times New Roman" w:cs="Times New Roman"/>
          <w:color w:val="843C0B" w:themeColor="accent2" w:themeShade="80"/>
          <w:sz w:val="24"/>
          <w:szCs w:val="24"/>
        </w:rPr>
      </w:pPr>
      <w:r>
        <w:rPr>
          <w:rFonts w:ascii="Times New Roman" w:hAnsi="Times New Roman" w:cs="Times New Roman"/>
          <w:color w:val="843C0B" w:themeColor="accent2" w:themeShade="80"/>
          <w:sz w:val="24"/>
          <w:szCs w:val="24"/>
        </w:rPr>
        <w:t>Telefon: 032/854-037</w:t>
      </w:r>
    </w:p>
    <w:p>
      <w:pPr>
        <w:jc w:val="right"/>
        <w:rPr>
          <w:rFonts w:ascii="Times New Roman" w:hAnsi="Times New Roman" w:cs="Times New Roman"/>
          <w:color w:val="843C0B" w:themeColor="accent2" w:themeShade="80"/>
          <w:sz w:val="24"/>
          <w:szCs w:val="24"/>
        </w:rPr>
      </w:pPr>
      <w:r>
        <w:rPr>
          <w:rFonts w:ascii="Times New Roman" w:hAnsi="Times New Roman" w:cs="Times New Roman"/>
          <w:color w:val="843C0B" w:themeColor="accent2" w:themeShade="80"/>
          <w:sz w:val="24"/>
          <w:szCs w:val="24"/>
        </w:rPr>
        <w:t xml:space="preserve">E-mail adresa: </w:t>
      </w:r>
      <w:r>
        <w:fldChar w:fldCharType="begin"/>
      </w:r>
      <w:r>
        <w:instrText xml:space="preserve"> HYPERLINK "mailto:knjiznica.bg@gmail.com" </w:instrText>
      </w:r>
      <w:r>
        <w:fldChar w:fldCharType="separate"/>
      </w:r>
      <w:r>
        <w:rPr>
          <w:rStyle w:val="10"/>
          <w:rFonts w:ascii="Times New Roman" w:hAnsi="Times New Roman" w:cs="Times New Roman"/>
          <w:color w:val="843C0B" w:themeColor="accent2" w:themeShade="80"/>
          <w:sz w:val="24"/>
          <w:szCs w:val="24"/>
        </w:rPr>
        <w:t>knjiznica.bg@gmail.com</w:t>
      </w:r>
      <w:r>
        <w:rPr>
          <w:rStyle w:val="10"/>
          <w:rFonts w:ascii="Times New Roman" w:hAnsi="Times New Roman" w:cs="Times New Roman"/>
          <w:color w:val="843C0B" w:themeColor="accent2" w:themeShade="80"/>
          <w:sz w:val="24"/>
          <w:szCs w:val="24"/>
        </w:rPr>
        <w:fldChar w:fldCharType="end"/>
      </w:r>
    </w:p>
    <w:p>
      <w:pPr>
        <w:jc w:val="right"/>
        <w:rPr>
          <w:rFonts w:ascii="Times New Roman" w:hAnsi="Times New Roman" w:cs="Times New Roman"/>
          <w:color w:val="2E75B6" w:themeColor="accent1" w:themeShade="BF"/>
          <w:sz w:val="24"/>
          <w:szCs w:val="24"/>
        </w:rPr>
      </w:pPr>
      <w:r>
        <w:rPr>
          <w:rFonts w:ascii="Times New Roman" w:hAnsi="Times New Roman" w:cs="Times New Roman"/>
          <w:color w:val="843C0B" w:themeColor="accent2" w:themeShade="80"/>
          <w:sz w:val="24"/>
          <w:szCs w:val="24"/>
        </w:rPr>
        <w:t>Web stranica: knjiznice.nsk.hr/babina-greda</w:t>
      </w:r>
    </w:p>
    <w:p>
      <w:pPr>
        <w:rPr>
          <w:rFonts w:ascii="Times New Roman" w:hAnsi="Times New Roman" w:cs="Times New Roman"/>
          <w:color w:val="2E75B6" w:themeColor="accent1" w:themeShade="BF"/>
          <w:sz w:val="48"/>
          <w:szCs w:val="48"/>
        </w:rPr>
      </w:pP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Općinska narodna knjižnica Babina Greda je samostalna javna općinska ustanova, po vrsti je narodna knjižnica koja osigurava pristup znanju, informacijama i djelima mašte pomoću niza izvora i službi.</w:t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Na raspolaganju je svim članovima zajednice čime zadovoljava kulturne, informacijske i obrazovne potrebe stanovnika općine Babina Greda kao i stanovnika bliže i šire okolice te omogućuje ostvarenje prava na znanje, demokratski i osobni razvitak svakog građanina. Svojim radom knjižnica ostvaruje funkciju razvojne djelatnosti za općinu, budući da je knjižnična djelatnost važan čimbenik u izgradnji društva znanja i od javnog je interesa za Republiku Hrvatsku, a posebnog interesa za svoju lokalnu zajednicu. 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Knjižnica nabavlja, stručno obrađuje, čuva i daje na korištenje knjižničnu građu u tradicionalnim oblicima i u suvremenim elektroničkim medijima te omogućuje mrežno i multimedijsko komuniciranje. Služi poticanju i širenju općeg obrazovanja, promicanju pismenosti i kulture čitanja, informiranju i stjecanju znanja, trajnom usavršavanju i učenju te, u konačnici, poboljšava kvalitetu života u maloj zajednici.</w:t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shd w:val="clear" w:color="auto" w:fill="FFFFFF" w:themeFill="background1"/>
        <w:rPr>
          <w:rFonts w:ascii="Times New Roman" w:hAnsi="Times New Roman" w:cs="Times New Roman"/>
          <w:outline/>
          <w:color w:val="C55A11" w:themeColor="accent2" w:themeShade="BF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>
      <w:pPr>
        <w:shd w:val="clear" w:color="auto" w:fill="FFFFFF" w:themeFill="background1"/>
        <w:rPr>
          <w:rFonts w:ascii="Times New Roman" w:hAnsi="Times New Roman" w:cs="Times New Roman"/>
          <w:outline/>
          <w:color w:val="C55A11" w:themeColor="accent2" w:themeShade="BF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>
      <w:pPr>
        <w:shd w:val="clear" w:color="auto" w:fill="FFFFFF" w:themeFill="background1"/>
        <w:rPr>
          <w:rFonts w:ascii="Times New Roman" w:hAnsi="Times New Roman" w:cs="Times New Roman"/>
          <w:outline/>
          <w:color w:val="C55A11" w:themeColor="accent2" w:themeShade="BF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>
      <w:pPr>
        <w:shd w:val="clear" w:color="auto" w:fill="FFFFFF" w:themeFill="background1"/>
        <w:rPr>
          <w:rFonts w:ascii="Times New Roman" w:hAnsi="Times New Roman" w:cs="Times New Roman"/>
          <w:outline/>
          <w:color w:val="C55A11" w:themeColor="accent2" w:themeShade="BF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outline/>
          <w:color w:val="C55A11" w:themeColor="accent2" w:themeShade="BF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Prostor, oprema i ustroj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 xml:space="preserve">Prema Standardu za narodne knjižnice u Republici Hrvatskoj (NN 103/2021) od 24. rujna 2021. i novom Popisu stanovništva naša knjižnica pripada VIII. tipu narodnih knjižnica u Republici Hrvatskoj tj. za područje do 3.000 stanovnika. 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 xml:space="preserve">Prostori knjižnice u potpunosti zadovoljavaju potrebe za razvoj knjižničarstva u babogredskoj sredini. Ukupnom veličinom prostor je knjižnice u skladu su s preporučenim vrijednostima. Frekventan smještaj, lako dostupna lokacija u blizini različitih sadržaja svakako je prednost za mještane Babine Grede zainteresirane za knjigu.  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Općinska narodna knjižnica Babina Greda</w:t>
      </w:r>
      <w:r>
        <w:rPr>
          <w:rFonts w:ascii="Times New Roman" w:hAnsi="Times New Roman" w:eastAsia="Times New Roman" w:cs="Times New Roman"/>
          <w:i/>
          <w:iCs/>
          <w:sz w:val="24"/>
          <w:szCs w:val="24"/>
          <w:lang w:eastAsia="hr-HR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 xml:space="preserve">smještena je u obnovljenoj i renoviranoj zgradi stare osnovne škole u centru sela, namjenski je uređena i suvremeno opremljena. Sastoji se od jedne veće prostorije u prizemlju gdje se nalaze: </w:t>
      </w:r>
      <w:r>
        <w:rPr>
          <w:rFonts w:ascii="Times New Roman" w:hAnsi="Times New Roman" w:eastAsia="Times New Roman" w:cs="Times New Roman"/>
          <w:sz w:val="24"/>
          <w:szCs w:val="24"/>
          <w:u w:val="single"/>
          <w:lang w:eastAsia="hr-HR"/>
        </w:rPr>
        <w:t>informativni pult</w:t>
      </w: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 xml:space="preserve">, </w:t>
      </w:r>
      <w:r>
        <w:rPr>
          <w:rFonts w:ascii="Times New Roman" w:hAnsi="Times New Roman" w:eastAsia="Times New Roman" w:cs="Times New Roman"/>
          <w:sz w:val="24"/>
          <w:szCs w:val="24"/>
          <w:u w:val="single"/>
          <w:lang w:eastAsia="hr-HR"/>
        </w:rPr>
        <w:t xml:space="preserve">prostor za smještaj građe u otvorenom pristupu, dječji odjel, čitaonica periodike, i 5 radnih  mjesta za rad i čitanje. </w:t>
      </w: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Prostor je opremljen suvremenom knjižničnom i ostalom opremom ukupne površine 343 m². Knjižnica posjeduje 3 prijenosna računala, s najnovijom inačicom Windowsa. Knjižničnu računalnu mrežu održava varaždinska tvrtka Point d.o.o., knjižnica koristi njihov računalni program Metel-Win, aktivan u većini hrvatskih knjižnica.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 xml:space="preserve">U zgradi knjižnice, točnije u potkrovlju, nalazi se i višenamjenska </w:t>
      </w:r>
      <w:r>
        <w:rPr>
          <w:rFonts w:ascii="Times New Roman" w:hAnsi="Times New Roman" w:eastAsia="Times New Roman" w:cs="Times New Roman"/>
          <w:sz w:val="24"/>
          <w:szCs w:val="24"/>
          <w:u w:val="single"/>
          <w:lang w:eastAsia="hr-HR"/>
        </w:rPr>
        <w:t>dvorana</w:t>
      </w: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 xml:space="preserve"> sa sedamdeset mjesta koja se koristi po potrebi za različite književne večeri, organiziranje tribina, predavanja i edukativnih radionica, sastanke i sl.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 xml:space="preserve"> U dvorani se nalazi ormar gdje je smještena građa zavičajne zbirke „Babina Greda i okolica“</w:t>
      </w:r>
      <w:r>
        <w:rPr>
          <w:rFonts w:ascii="Times New Roman" w:hAnsi="Times New Roman" w:eastAsia="Times New Roman" w:cs="Times New Roman"/>
          <w:i/>
          <w:iCs/>
          <w:sz w:val="24"/>
          <w:szCs w:val="24"/>
          <w:lang w:eastAsia="hr-HR"/>
        </w:rPr>
        <w:t xml:space="preserve">, </w:t>
      </w: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koja se koristi u knjižnici uz posebnu dozvolu.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hr-HR"/>
        </w:rPr>
        <w:t xml:space="preserve"> </w:t>
      </w:r>
    </w:p>
    <w:p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285115</wp:posOffset>
            </wp:positionV>
            <wp:extent cx="3009900" cy="2256790"/>
            <wp:effectExtent l="76200" t="76200" r="133350" b="124460"/>
            <wp:wrapTight wrapText="bothSides">
              <wp:wrapPolygon>
                <wp:start x="-273" y="-729"/>
                <wp:lineTo x="-547" y="-547"/>
                <wp:lineTo x="-547" y="21880"/>
                <wp:lineTo x="-273" y="22609"/>
                <wp:lineTo x="22147" y="22609"/>
                <wp:lineTo x="22420" y="20056"/>
                <wp:lineTo x="22420" y="2370"/>
                <wp:lineTo x="22147" y="-365"/>
                <wp:lineTo x="22147" y="-729"/>
                <wp:lineTo x="-273" y="-729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6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U potkrovlju knjižnice nalaze se još tri prostorije: </w:t>
      </w:r>
      <w:r>
        <w:rPr>
          <w:rFonts w:ascii="Times New Roman" w:hAnsi="Times New Roman" w:cs="Times New Roman"/>
          <w:sz w:val="24"/>
          <w:szCs w:val="24"/>
          <w:u w:val="single"/>
        </w:rPr>
        <w:t>depo knjiga, čajna kuhinja i igraonica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Osim postojeće opreme, Knjižnica je prijavila program "Dnevni boravak Babine Grede" na natječaj za investicijske potrebe u kulturi za 2021. godinu i dobili smo bespovratna sredstva od Ministarstva kulture i medija i našeg osnivača, Općine Babina Greda. Cilj nam je ovoga projekta bio opremiti prostor u knjižnici koji bi bio namijenjen svima vama koji se nalazite u Babinoj Gredi. Ovdje se mogu pročitati novine, odabrati knjige za posudbu, igrati društvene igre, a sve je to u cilju kvalitetnog provođenja slobodnoga vremena. Velika je prednost za roditelje što se odmah pokraj "dnevnog boravka" nalazi igraonica za predškolsku djecu. </w:t>
      </w:r>
    </w:p>
    <w:p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ab/>
      </w:r>
    </w:p>
    <w:p>
      <w:pPr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</w:p>
    <w:p>
      <w:pPr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Općinska narodna knjižnica Babina Greda djeluje kroz odjele:</w:t>
      </w:r>
    </w:p>
    <w:p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Odjel za djecu i mlade s igraonicom</w:t>
      </w:r>
    </w:p>
    <w:p>
      <w:pPr>
        <w:pStyle w:val="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Odjel sadrži velik izbor lektire i ostalih popularnih najnovijih naslova. Također, prisutan je velik broj didaktičkih igara i igračaka koje pomažu motoričkom i kognitivnom razvoju djeteta.  Igraonica nam obiluje upravo takvim, prilagođenim igračkama i igrama, no i igračkama za zabavu. Igraonica je otvorena za sve najmlađe korisnike knjižnice koji mogu boraviti u tom prostoru uz pratnju roditelja. 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Posudbeni odjel za odrasle s čitaonicom dnevnog tiska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118745</wp:posOffset>
            </wp:positionV>
            <wp:extent cx="2395855" cy="3194685"/>
            <wp:effectExtent l="76200" t="76200" r="137795" b="139700"/>
            <wp:wrapSquare wrapText="bothSides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95855" cy="31944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Nudi bogat izbor beletristike podijeljene u nekoliko nacionalnih književnosti: Hrvatska književnost (poezija, proza, drama, eseji, kritički prikazi); Američka književnost; Talijanska književnost; Njemačka književnost; Ruska književnost; Francuska književnost, Norveška književnost, Danska književnost, Švedska književnost i Ostale književnosti. 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Također, osim beletristike, posudbeni odjel nudi  i stručnu literaturu iz područja ekonomije, prava, politike, a pokriva i osnovni izbor literature iz područja  medicine, veterine, poljoprivrede, umjetnosti, filozofije, sociologije i psihologije.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Sve je dostupno korisnicima osim referentne zbirke koja se može čitati jedino u  prostoru knjižnice.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Knjižnica prima 12 naslova časopisa i novina: Glas Slavonije, Vatrogasni vjesnik, Lovački list, Gospodarski list,  Umirovljenički list, Hrvatska vodoprivreda, Tehno-Eko, Zeleno i plavo, Story, Lider, Hrvatske šume.  </w:t>
      </w:r>
    </w:p>
    <w:p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Odjel AV građe</w:t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Audiovizualna građa se nalazi na posudbenom odjelu i podijeljena je na igrane i animirane filmove, najpopularnije i najnovije, a ova zbirka sadrži i edukativne dokumentarne filmove. AV građa se slabije nabavlja u zadnje vrijeme, zbog pada interesa naših korisnika.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Zavičajna zbirka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U zavičajnoj zbirci prikuplja se, obrađuje, smješta i čuva sva dostupna knjižna i neknjižna građu koja se u bilo kojem smislu odnosi na zavičaj: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- Publikacije objavljene na području Općine Babina Greda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- Publikacije Babogredaca i osoba koje su svojim životom i djelom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povezane sa Babinom Gredom objavljene bilo gdje u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svijetu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- Sve publikacije o Babinoj Gredi i Babogredcima objavljene bilo gdje u svijetu.</w:t>
      </w:r>
    </w:p>
    <w:p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</w:p>
    <w:p>
      <w:pPr>
        <w:rPr>
          <w:rFonts w:ascii="Times New Roman" w:hAnsi="Times New Roman" w:cs="Times New Roman"/>
          <w:outline/>
          <w:color w:val="C55A11" w:themeColor="accent2" w:themeShade="BF"/>
          <w:sz w:val="28"/>
          <w:szCs w:val="28"/>
          <w14:shadow w14:blurRad="38100" w14:dist="32004" w14:dir="5400000" w14:sx="100000" w14:sy="100000" w14:kx="0" w14:ky="0" w14:algn="tl">
            <w14:schemeClr w14:val="accent2">
              <w14:alpha w14:val="70000"/>
              <w14:lumMod w14:val="75000"/>
            </w14:scheme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outline/>
          <w:color w:val="C55A11" w:themeColor="accent2" w:themeShade="BF"/>
          <w:sz w:val="28"/>
          <w:szCs w:val="28"/>
          <w14:shadow w14:blurRad="38100" w14:dist="32004" w14:dir="5400000" w14:sx="100000" w14:sy="100000" w14:kx="0" w14:ky="0" w14:algn="tl">
            <w14:schemeClr w14:val="accent2">
              <w14:alpha w14:val="70000"/>
              <w14:lumMod w14:val="75000"/>
            </w14:scheme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Osoblje knjižnice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  <w14:shadow w14:blurRad="50800" w14:dist="50800" w14:dir="5400000" w14:sx="0" w14:sy="0" w14:kx="0" w14:ky="0" w14:algn="ctr">
            <w14:schemeClr w14:val="accent2">
              <w14:lumMod w14:val="75000"/>
            </w14:schemeClr>
          </w14:shadow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 xml:space="preserve">U svojstvu ravnateljice Knjižnice zaposlena je jedna stručna osoba, diplomirani knjižničar, s više od pet godina iskustva u knjižnici i s položenim stručnim ispitom za knjižničara. 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Kao samostalna knjižničarka u jednoj narodnoj knjižnici, osim vođenja knjižnice kao ravnateljica, zaposleničina je dužnost obavljati i  sljedeće poslove.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- analizira informacijske potrebe zajednice i potrebe vezane za građu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oblikuje i provodi smjernice za razvoj službe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razvija nabavnu politiku i sustave za knjižničnu građu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katalogizira i klasificira građu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podučava korisnike kako koristiti knjižnicu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podučava informacijskim znanjima i vještinama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pomaže korisnicima pri korištenju knjižničnom građom i informacijskom tehnologijom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odgovara na referentne i informacijske upite služeći se odgovarajućim izvorima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promiče programe čitanja i kulturna događanja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uspostavlja partnerske odnose s vanjskim organizacijama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planira i provodi proračun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 xml:space="preserve">Kulturna i javna djelatnost usmjerava se na predstavljanje knjižnice široj  zajednici kroz sudjelovanje u osmišljavanju i izradi promidžbenog materijala, povezivanje s organizacijama, udrugama, medijima te organiziranje predavanja, izložbi, radionica, predstavljanja autora i knjiga, itd. 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Knjižničarka/ravnateljica kontinuirano tijekom cijele godine obavlja stručne knjižničarske djelatnosti, koje obuhvaćaju: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1. priprema fonda (nabava knjižnične građe, prikupljanje i analiza zahtjeva korisnika,  plan nabave, izbor  građe, organizacija fonda, pročišćavanje i izlučivanje, revizija i otpis, procjenjivanje fonda)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2. obradba knjižnične građe (bibliografska obradba, sadržajna analiza za  potrebe klasifikacije, predmetna obradba, izrada anotacija i sažetaka)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3. informacijska djelatnost (referentna zbirka, retrospektivna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pretraživanja, organizacija i izrada profila za selektivnu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diseminaciju, pretraživanje dostupnih baza podataka i kataloga, organizacija međuknjižnične posudbe)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Također, pored spomenutih, djelatnosti ravnateljice su i: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korištenje kataloške baze podataka drugih knjižnica u obradi građe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statistike članova po svim kategorijama upisa (vrste, godine, mjesta stanovanja, broju posuđenih jedinica, roka posudbe, isteka posudbe…)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statistike posudbe po danima, mjesecima, vrsti građe, UDK oznakama, po računima, dobavljačima, financiranju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statistike dokumenata i članova (top-posudba)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revizija i otpis knjižnog fonda.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 xml:space="preserve">Potrebno je i osigurati dostupnost informacija o događanjima u knjižnici i novim naslovima koji se pojavljuju. Zato knjižnica ima svoju korisničku stranicu na Facebooku, i trenutačno ju prati oko 900 korisnika Facebooka. Web stranicu knjižnice također vodi i uređuje ravnateljica knjižnice. 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hr-HR"/>
        </w:rPr>
        <w:t>Računovodstvo i knjigovodstvo knjižnice vodi djelatnica Općine Babina Greda u okviru svog radnog vremena. Spremačica Općine Babina Greda zadužena je za održavanje i čišćenje prostora knjižnice.</w:t>
      </w:r>
    </w:p>
    <w:p>
      <w:pPr>
        <w:shd w:val="clear" w:color="auto" w:fill="FFFFFF" w:themeFill="background1"/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</w:pPr>
    </w:p>
    <w:p>
      <w:pPr>
        <w:shd w:val="clear" w:color="auto" w:fill="FFFFFF" w:themeFill="background1"/>
        <w:rPr>
          <w:rFonts w:ascii="Times New Roman" w:hAnsi="Times New Roman" w:cs="Times New Roman"/>
          <w:outline/>
          <w:color w:val="C55A11" w:themeColor="accent2" w:themeShade="BF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rFonts w:ascii="Times New Roman" w:hAnsi="Times New Roman" w:eastAsia="Times New Roman" w:cs="Times New Roman"/>
          <w:bCs/>
          <w:outline/>
          <w:color w:val="C55A11" w:themeColor="accent2" w:themeShade="BF"/>
          <w:kern w:val="32"/>
          <w:sz w:val="28"/>
          <w:szCs w:val="28"/>
          <w:lang w:eastAsia="hr-HR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Javna i kulturna djelatnost</w:t>
      </w:r>
    </w:p>
    <w:p>
      <w:pPr>
        <w:jc w:val="both"/>
        <w:rPr>
          <w:rFonts w:ascii="Times New Roman" w:hAnsi="Times New Roman" w:cs="Times New Roman"/>
          <w:bCs/>
        </w:rPr>
      </w:pPr>
    </w:p>
    <w:p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Za što veći odaziv korisnika , za što veću popularizaciju knjige u malim mjestima,  važna stavka u svakoj kulturnoj ustanovi je program kulturno-animacijskih aktivnosti . </w:t>
      </w:r>
    </w:p>
    <w:p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>Kulturno-animacijske aktivnosti knjižnične ustanove mogu biti umjetničke radionice (likovne, literarne) u svrhu kreativnog razvijanja korisnika svih godina, radionice izobrazbe ( učenja novih tehnologija), igraonice za djecu s naglaskom na poticanje čitanja, književni susreti, čitanje književnih tekstova, javne tribine sa zanimljivim temama.</w:t>
      </w:r>
    </w:p>
    <w:p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>Program javnih i kulturnih djelatnosti za cilj ima pozitivnu popularizaciju knjige, ali i prostora babogredske knjižnice. Također, kao i svaka knjižnica, jedan od važnijih ciljeva je poticanje čitanja kod djece i mladih. Korisno i kreativno ispunjavanje slobodnog vremena preduvjet je pravilnog razvoja mladih ljudi u moderno vrijeme kada se odnos prema društvu, odnos prema vrijednostima i samom sebi mijenja. Kroz razvijanje potrebe za informiranjem i produbljivanjem opće kulture kod starijih korisnika potičemo njihovo cjeloživotno obrazovanje, daleko od svakodnevnih poslovnih i obiteljskih obveza. Nadasve, cilj ovog programa bi bio motivacija za stjecanje kvalitetnih navika u društvu kroz cijeli životni vijek.</w:t>
      </w:r>
    </w:p>
    <w:p>
      <w:pPr>
        <w:jc w:val="center"/>
        <w:rPr>
          <w:rFonts w:ascii="Times New Roman" w:hAnsi="Times New Roman" w:cs="Times New Roman"/>
          <w:b/>
          <w:bCs/>
          <w:color w:val="C55A11" w:themeColor="accent2" w:themeShade="BF"/>
          <w:sz w:val="24"/>
          <w:szCs w:val="24"/>
        </w:rPr>
      </w:pPr>
    </w:p>
    <w:p>
      <w:pPr>
        <w:shd w:val="clear" w:color="auto" w:fill="FFFFFF" w:themeFill="background1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Cs/>
          <w:color w:val="000000" w:themeColor="text1"/>
          <w:kern w:val="32"/>
          <w:sz w:val="24"/>
          <w:szCs w:val="24"/>
          <w:lang w:eastAsia="hr-H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13335</wp:posOffset>
            </wp:positionV>
            <wp:extent cx="1376680" cy="1835785"/>
            <wp:effectExtent l="76200" t="76200" r="128270" b="126365"/>
            <wp:wrapTight wrapText="bothSides">
              <wp:wrapPolygon>
                <wp:start x="-598" y="-897"/>
                <wp:lineTo x="-1196" y="-672"/>
                <wp:lineTo x="-1196" y="21966"/>
                <wp:lineTo x="-598" y="22863"/>
                <wp:lineTo x="22716" y="22863"/>
                <wp:lineTo x="23314" y="21070"/>
                <wp:lineTo x="23314" y="2914"/>
                <wp:lineTo x="22716" y="-448"/>
                <wp:lineTo x="22716" y="-897"/>
                <wp:lineTo x="-598" y="-897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1835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Aktivnosti u knjižnici</w:t>
      </w:r>
    </w:p>
    <w:p>
      <w:pPr>
        <w:keepNext/>
        <w:spacing w:before="240" w:after="60" w:line="240" w:lineRule="auto"/>
        <w:jc w:val="both"/>
        <w:outlineLvl w:val="0"/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  <w:tab/>
      </w:r>
      <w:r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  <w:t>U 2021. godini Knjižnica se trudila poštivati mjere i preporuke Hrvatskog zavoda za javno zdravstvo i u skladu s tim obavljati svoju javno-kulturnu i odgojno-obrazovnu djelatnost.</w:t>
      </w:r>
    </w:p>
    <w:p>
      <w:pPr>
        <w:keepNext/>
        <w:spacing w:before="240" w:after="60" w:line="240" w:lineRule="auto"/>
        <w:outlineLvl w:val="0"/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</w:pPr>
    </w:p>
    <w:p>
      <w:pPr>
        <w:keepNext/>
        <w:spacing w:before="240" w:after="60" w:line="240" w:lineRule="auto"/>
        <w:outlineLvl w:val="0"/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135255</wp:posOffset>
            </wp:positionV>
            <wp:extent cx="2735580" cy="2051685"/>
            <wp:effectExtent l="76200" t="76200" r="140970" b="139065"/>
            <wp:wrapTight wrapText="bothSides">
              <wp:wrapPolygon>
                <wp:start x="-301" y="-802"/>
                <wp:lineTo x="-602" y="-602"/>
                <wp:lineTo x="-602" y="21861"/>
                <wp:lineTo x="-301" y="22864"/>
                <wp:lineTo x="22262" y="22864"/>
                <wp:lineTo x="22563" y="21861"/>
                <wp:lineTo x="22563" y="2607"/>
                <wp:lineTo x="22262" y="-401"/>
                <wp:lineTo x="22262" y="-802"/>
                <wp:lineTo x="-301" y="-802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051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  <w:t xml:space="preserve">Valentinovo smo pripremili izložbu antivalentinovskih i valentinovskih knjiga, za Dan žena smo ponudili mještankama popust na članstvo u našoj knjižnici, kao i za Noć knjige i Mjesec hrvatske knjige. </w:t>
      </w:r>
    </w:p>
    <w:p>
      <w:pPr>
        <w:keepNext/>
        <w:spacing w:before="240" w:after="60" w:line="240" w:lineRule="auto"/>
        <w:outlineLvl w:val="0"/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  <w:t xml:space="preserve">Nastojali smo biti prisutni u zajednici, stoga smo organizirali i  Napad riječima. Napad riječima je bila naša kampanja za poticanje čitanja i u skladu s Godinom čitanja koju je proglasilo Ministarstvo kulture i medija. Na frekventnim mjestima u mjestu stavili smo plakate sa zanimljivim citatima kako bi potaknuli mještane na čitanje knjiga. </w:t>
      </w:r>
    </w:p>
    <w:p>
      <w:pPr>
        <w:rPr>
          <w:lang w:eastAsia="hr-HR"/>
        </w:rPr>
      </w:pPr>
    </w:p>
    <w:p>
      <w:pPr>
        <w:keepNext/>
        <w:spacing w:before="240" w:after="60" w:line="240" w:lineRule="auto"/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 listopadu smo imali gostovanje Brune Šimleše, sociologa i autora najpopularnijih i najprodavanijih knjiga u Hrvatskoj. Šimleša je promovirao sve dosadašnje knjige koje su objavljene, </w:t>
      </w:r>
      <w:r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  <w:t xml:space="preserve">a  najavio i sljedeću knjigu koju će objaviti. </w:t>
      </w:r>
    </w:p>
    <w:p>
      <w:pPr>
        <w:keepNext/>
        <w:spacing w:before="240" w:after="60" w:line="240" w:lineRule="auto"/>
        <w:jc w:val="both"/>
        <w:outlineLvl w:val="0"/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  <w:t xml:space="preserve"> Susret je bio iznimno posjećen, ali i nadalje u skladu s pandemijskim mjerama. </w:t>
      </w:r>
    </w:p>
    <w:p>
      <w:pPr>
        <w:keepNext/>
        <w:spacing w:before="240" w:after="60" w:line="240" w:lineRule="auto"/>
        <w:jc w:val="both"/>
        <w:outlineLvl w:val="0"/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381635</wp:posOffset>
            </wp:positionV>
            <wp:extent cx="2927985" cy="2195830"/>
            <wp:effectExtent l="76200" t="76200" r="139065" b="128270"/>
            <wp:wrapTight wrapText="bothSides">
              <wp:wrapPolygon>
                <wp:start x="-281" y="-750"/>
                <wp:lineTo x="-562" y="-562"/>
                <wp:lineTo x="-562" y="21925"/>
                <wp:lineTo x="-281" y="22674"/>
                <wp:lineTo x="22204" y="22674"/>
                <wp:lineTo x="22485" y="20613"/>
                <wp:lineTo x="22485" y="2436"/>
                <wp:lineTo x="22204" y="-375"/>
                <wp:lineTo x="22204" y="-750"/>
                <wp:lineTo x="-281" y="-75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21958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  <w:t xml:space="preserve">Svi koji su prisustvovali ovom skupu mogli su kupiti Šimlešine knjige po iznimno niskim cijenama. </w:t>
      </w:r>
    </w:p>
    <w:p>
      <w:pPr>
        <w:keepNext/>
        <w:spacing w:before="240" w:after="60" w:line="240" w:lineRule="auto"/>
        <w:jc w:val="both"/>
        <w:outlineLvl w:val="0"/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</w:pPr>
    </w:p>
    <w:p>
      <w:pPr>
        <w:keepNext/>
        <w:spacing w:before="240" w:after="60" w:line="240" w:lineRule="auto"/>
        <w:jc w:val="both"/>
        <w:outlineLvl w:val="0"/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  <w:t xml:space="preserve">Prosinac nam je bio obilježen tematski, izrađivali smo božićne ukrase s učenicima viših razreda osnovne škole. U suradnji s vrtićem ukrasili smo božićnu jelku u centru sela. </w:t>
      </w:r>
    </w:p>
    <w:p>
      <w:pPr>
        <w:keepNext/>
        <w:spacing w:before="240" w:after="60" w:line="240" w:lineRule="auto"/>
        <w:jc w:val="both"/>
        <w:outlineLvl w:val="0"/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</w:pPr>
    </w:p>
    <w:p>
      <w:pPr>
        <w:keepNext/>
        <w:spacing w:before="240" w:after="60" w:line="240" w:lineRule="auto"/>
        <w:jc w:val="both"/>
        <w:outlineLvl w:val="0"/>
        <w:rPr>
          <w:rFonts w:ascii="Times New Roman" w:hAnsi="Times New Roman" w:eastAsia="Times New Roman" w:cs="Times New Roman"/>
          <w:b/>
          <w:bCs/>
          <w:kern w:val="32"/>
          <w:sz w:val="24"/>
          <w:szCs w:val="24"/>
          <w:lang w:eastAsia="hr-HR"/>
        </w:rPr>
      </w:pPr>
    </w:p>
    <w:p>
      <w:pPr>
        <w:keepNext/>
        <w:spacing w:before="240" w:after="60" w:line="240" w:lineRule="auto"/>
        <w:jc w:val="both"/>
        <w:outlineLvl w:val="0"/>
        <w:rPr>
          <w:rFonts w:ascii="Times New Roman" w:hAnsi="Times New Roman" w:eastAsia="Times New Roman" w:cs="Times New Roman"/>
          <w:b/>
          <w:bCs/>
          <w:kern w:val="32"/>
          <w:sz w:val="24"/>
          <w:szCs w:val="24"/>
          <w:lang w:eastAsia="hr-HR"/>
        </w:rPr>
      </w:pPr>
    </w:p>
    <w:p>
      <w:pPr>
        <w:keepNext/>
        <w:spacing w:before="240" w:after="60" w:line="240" w:lineRule="auto"/>
        <w:jc w:val="both"/>
        <w:outlineLvl w:val="0"/>
        <w:rPr>
          <w:rFonts w:ascii="Times New Roman" w:hAnsi="Times New Roman" w:eastAsia="Times New Roman" w:cs="Times New Roman"/>
          <w:b/>
          <w:bCs/>
          <w:kern w:val="32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b/>
          <w:bCs/>
          <w:kern w:val="32"/>
          <w:sz w:val="24"/>
          <w:szCs w:val="24"/>
          <w:lang w:eastAsia="hr-HR"/>
        </w:rPr>
        <w:t>Zajedno u odrastanju</w:t>
      </w:r>
    </w:p>
    <w:p>
      <w:pPr>
        <w:keepNext/>
        <w:spacing w:before="240" w:after="60"/>
        <w:outlineLvl w:val="0"/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  <w:t xml:space="preserve">Knjižnica provodi ovaj projekt već sedmu godinu zaredom. Program „Zajedno u odrastanju “ je zamišljen kao sklop pomoći pri savjetovanju roditelja u poticanju čitanja kod djece, kao i otkrivanje djeci da je čitanje zabavna aktivnost. </w:t>
      </w:r>
    </w:p>
    <w:p>
      <w:pPr>
        <w:keepNext/>
        <w:spacing w:before="240" w:after="60"/>
        <w:outlineLvl w:val="0"/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  <w:t>Program je namijenjen djeci do 4. razreda osnovne škole i njihovim roditeljima, a naravno i svim ostalim zainteresiranim za ovu temu.</w:t>
      </w:r>
    </w:p>
    <w:p>
      <w:pPr>
        <w:keepNext/>
        <w:spacing w:before="240" w:after="60"/>
        <w:outlineLvl w:val="0"/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</w:pPr>
      <w:r>
        <w:rPr>
          <w:rFonts w:ascii="Times New Roman" w:hAnsi="Times New Roman" w:eastAsia="Calibri" w:cs="Times New Roman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92075</wp:posOffset>
            </wp:positionH>
            <wp:positionV relativeFrom="margin">
              <wp:posOffset>6301105</wp:posOffset>
            </wp:positionV>
            <wp:extent cx="2783840" cy="2087880"/>
            <wp:effectExtent l="76200" t="76200" r="130810" b="14097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  <w:t xml:space="preserve"> Oni koji žele sudjelovati u ovom programu ne moraju biti nužno članovi Knjižnice, čak ne moraju biti ni mještani Babine Grede! Svi su dobrodošli. </w:t>
      </w:r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  <w:t>Kroz kulturno-animacijske aktivnosti i odgojno-obrazovne aktivnosti nastojali smo djeci i roditeljima osvijestiti potrebu za čitanjem i korištenjem prostora Knjižnice.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  <w:t>Aktivnosti su bile namijenjene određenoj dobi.</w:t>
      </w:r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</w:p>
    <w:p>
      <w:pPr>
        <w:numPr>
          <w:ilvl w:val="0"/>
          <w:numId w:val="3"/>
        </w:numPr>
        <w:spacing w:after="0" w:line="240" w:lineRule="auto"/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</w:rPr>
        <w:t xml:space="preserve">faza: I ja ću čitati! </w:t>
      </w:r>
    </w:p>
    <w:p>
      <w:pPr>
        <w:spacing w:after="0" w:line="240" w:lineRule="auto"/>
        <w:ind w:left="720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Osim što smo najmlađima podijelili članske iskaznice, besplatne članske iskaznice su dobili i učenici prvog razreda osnovne škole. </w:t>
      </w:r>
    </w:p>
    <w:p>
      <w:pPr>
        <w:spacing w:after="0" w:line="240" w:lineRule="auto"/>
        <w:ind w:left="720"/>
        <w:rPr>
          <w:rFonts w:ascii="Times New Roman" w:hAnsi="Times New Roman" w:eastAsia="Calibri" w:cs="Times New Roman"/>
          <w:sz w:val="24"/>
          <w:szCs w:val="24"/>
        </w:rPr>
      </w:pPr>
    </w:p>
    <w:p>
      <w:pPr>
        <w:spacing w:after="0" w:line="240" w:lineRule="auto"/>
        <w:ind w:left="720"/>
        <w:rPr>
          <w:rFonts w:ascii="Times New Roman" w:hAnsi="Times New Roman" w:eastAsia="Calibri" w:cs="Times New Roman"/>
          <w:sz w:val="24"/>
          <w:szCs w:val="24"/>
        </w:rPr>
      </w:pPr>
    </w:p>
    <w:p>
      <w:pPr>
        <w:spacing w:after="0" w:line="240" w:lineRule="auto"/>
        <w:ind w:left="720"/>
        <w:rPr>
          <w:rFonts w:ascii="Times New Roman" w:hAnsi="Times New Roman" w:eastAsia="Calibri" w:cs="Times New Roman"/>
          <w:sz w:val="24"/>
          <w:szCs w:val="24"/>
        </w:rPr>
      </w:pPr>
    </w:p>
    <w:p>
      <w:pPr>
        <w:spacing w:after="0" w:line="240" w:lineRule="auto"/>
        <w:ind w:left="720"/>
        <w:rPr>
          <w:rFonts w:ascii="Times New Roman" w:hAnsi="Times New Roman" w:eastAsia="Calibri" w:cs="Times New Roman"/>
          <w:sz w:val="24"/>
          <w:szCs w:val="24"/>
        </w:rPr>
      </w:pPr>
    </w:p>
    <w:p>
      <w:pPr>
        <w:spacing w:after="0" w:line="240" w:lineRule="auto"/>
        <w:ind w:left="720"/>
        <w:rPr>
          <w:rFonts w:ascii="Times New Roman" w:hAnsi="Times New Roman" w:eastAsia="Calibri" w:cs="Times New Roman"/>
          <w:sz w:val="24"/>
          <w:szCs w:val="24"/>
        </w:rPr>
      </w:pPr>
    </w:p>
    <w:p>
      <w:pPr>
        <w:spacing w:after="0" w:line="240" w:lineRule="auto"/>
        <w:ind w:left="720"/>
        <w:rPr>
          <w:rFonts w:ascii="Times New Roman" w:hAnsi="Times New Roman" w:eastAsia="Calibri" w:cs="Times New Roman"/>
          <w:sz w:val="24"/>
          <w:szCs w:val="24"/>
        </w:rPr>
      </w:pPr>
    </w:p>
    <w:p>
      <w:pPr>
        <w:spacing w:after="0" w:line="240" w:lineRule="auto"/>
        <w:ind w:left="720"/>
        <w:rPr>
          <w:rFonts w:ascii="Times New Roman" w:hAnsi="Times New Roman" w:eastAsia="Calibri" w:cs="Times New Roman"/>
          <w:sz w:val="24"/>
          <w:szCs w:val="24"/>
        </w:rPr>
      </w:pPr>
    </w:p>
    <w:p>
      <w:pPr>
        <w:spacing w:after="0" w:line="240" w:lineRule="auto"/>
        <w:ind w:left="720"/>
        <w:rPr>
          <w:rFonts w:ascii="Times New Roman" w:hAnsi="Times New Roman" w:eastAsia="Calibri" w:cs="Times New Roman"/>
          <w:sz w:val="24"/>
          <w:szCs w:val="24"/>
        </w:rPr>
      </w:pPr>
    </w:p>
    <w:p>
      <w:pPr>
        <w:spacing w:after="0" w:line="240" w:lineRule="auto"/>
        <w:ind w:left="720"/>
        <w:rPr>
          <w:rFonts w:ascii="Times New Roman" w:hAnsi="Times New Roman" w:eastAsia="Calibri" w:cs="Times New Roman"/>
          <w:sz w:val="24"/>
          <w:szCs w:val="24"/>
        </w:rPr>
      </w:pPr>
    </w:p>
    <w:p>
      <w:pPr>
        <w:numPr>
          <w:ilvl w:val="0"/>
          <w:numId w:val="3"/>
        </w:numPr>
        <w:spacing w:after="0" w:line="240" w:lineRule="auto"/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</w:rPr>
        <w:t xml:space="preserve">faza: Učimo jedni o drugima </w:t>
      </w:r>
    </w:p>
    <w:p>
      <w:pPr>
        <w:spacing w:after="0" w:line="240" w:lineRule="auto"/>
        <w:ind w:left="720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Edukacijski rehabilitator Martina Boričić Martić iz Centra Marta, obrta za edukaciju i savjetovanje koji nudi usluge edukacijsko rehabilitacijske podrške, terapije igrom, savjetovan </w:t>
      </w:r>
      <w:r>
        <w:rPr>
          <w:rFonts w:ascii="Times New Roman" w:hAnsi="Times New Roman" w:eastAsia="Calibri" w:cs="Times New Roman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3262630</wp:posOffset>
            </wp:positionH>
            <wp:positionV relativeFrom="paragraph">
              <wp:posOffset>180340</wp:posOffset>
            </wp:positionV>
            <wp:extent cx="2057400" cy="1590675"/>
            <wp:effectExtent l="76200" t="76200" r="133350" b="142875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68" r="1818" b="17501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906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Calibri" w:cs="Times New Roman"/>
          <w:sz w:val="24"/>
          <w:szCs w:val="24"/>
        </w:rPr>
        <w:t xml:space="preserve">ja roditelja te savjetovanje i edukaciju stručnjaka, kroz svoje predavanje je prisutnim roditeljima objasnila kako sami mogu doprinijeti motivaciji za čitanje. </w:t>
      </w:r>
    </w:p>
    <w:p>
      <w:pPr>
        <w:spacing w:after="0" w:line="240" w:lineRule="auto"/>
        <w:ind w:left="720"/>
        <w:rPr>
          <w:rFonts w:ascii="Times New Roman" w:hAnsi="Times New Roman" w:eastAsia="Calibri" w:cs="Times New Roman"/>
          <w:sz w:val="24"/>
          <w:szCs w:val="24"/>
        </w:rPr>
      </w:pPr>
    </w:p>
    <w:p>
      <w:pPr>
        <w:numPr>
          <w:ilvl w:val="0"/>
          <w:numId w:val="3"/>
        </w:numPr>
        <w:spacing w:after="0" w:line="240" w:lineRule="auto"/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</w:rPr>
        <w:t>faza: Pričopričalica priča priče</w:t>
      </w:r>
    </w:p>
    <w:p>
      <w:pPr>
        <w:spacing w:after="0" w:line="240" w:lineRule="auto"/>
        <w:ind w:left="708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Naša dugogodišnja suradnica Sandra Vukoja – bajkopričalica (Artemisia), sudjelovala je u Noći knjige za djecu do 4. razreda osnovne škole, a drugi put nas je posjetila kada su naši vrtićarci po prvi puta bili u Knjižnici. Kroz pričaonicu približila im je bajke, a mališani su aktivno sudjelovali u stvaranju priče. Svaki vrtićarac je dobio na poklon slikovnicu. </w:t>
      </w:r>
    </w:p>
    <w:p>
      <w:pPr>
        <w:spacing w:after="0" w:line="240" w:lineRule="auto"/>
        <w:ind w:left="708"/>
        <w:rPr>
          <w:rFonts w:ascii="Times New Roman" w:hAnsi="Times New Roman" w:eastAsia="Calibri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163830</wp:posOffset>
            </wp:positionV>
            <wp:extent cx="2753995" cy="1835785"/>
            <wp:effectExtent l="76200" t="76200" r="141605" b="126365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835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3"/>
        </w:numPr>
        <w:spacing w:after="0" w:line="240" w:lineRule="auto"/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</w:rPr>
        <w:t>faza: Pisac u našem selu</w:t>
      </w:r>
    </w:p>
    <w:p>
      <w:pPr>
        <w:spacing w:after="0" w:line="240" w:lineRule="auto"/>
        <w:ind w:left="720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Ove godine posjetila nas je spisateljica i dizajnerica prostora Marija Gradečak sa svojom prvom slikovnicom „</w:t>
      </w:r>
      <w:r>
        <w:rPr>
          <w:rFonts w:ascii="Times New Roman" w:hAnsi="Times New Roman" w:eastAsia="Calibri" w:cs="Times New Roman"/>
          <w:sz w:val="24"/>
          <w:szCs w:val="24"/>
        </w:rPr>
        <w:tab/>
      </w:r>
      <w:r>
        <w:rPr>
          <w:rFonts w:ascii="Times New Roman" w:hAnsi="Times New Roman" w:eastAsia="Calibri" w:cs="Times New Roman"/>
          <w:sz w:val="24"/>
          <w:szCs w:val="24"/>
        </w:rPr>
        <w:t xml:space="preserve">Mala mica dizajnerica“. Svojom prezentacijom predstavila je samu sebe kao dizajnericu, autoricu i osobu i upoznala ih je s osnovama dizajna. Kroz kasnije pripremljenu radionicu, djeca su sama osmišljavala (dizajnirala) model prostora. </w:t>
      </w:r>
    </w:p>
    <w:p>
      <w:pPr>
        <w:spacing w:after="0" w:line="240" w:lineRule="auto"/>
        <w:ind w:left="720"/>
        <w:rPr>
          <w:rFonts w:ascii="Times New Roman" w:hAnsi="Times New Roman" w:eastAsia="Calibri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200660</wp:posOffset>
            </wp:positionH>
            <wp:positionV relativeFrom="margin">
              <wp:posOffset>6153150</wp:posOffset>
            </wp:positionV>
            <wp:extent cx="1943100" cy="2591435"/>
            <wp:effectExtent l="76200" t="76200" r="133350" b="132715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591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eastAsia="Calibri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ab/>
      </w:r>
      <w:r>
        <w:rPr>
          <w:rFonts w:ascii="Times New Roman" w:hAnsi="Times New Roman" w:eastAsia="Calibri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Promidžba</w:t>
      </w:r>
    </w:p>
    <w:p>
      <w:pPr>
        <w:spacing w:after="0" w:line="240" w:lineRule="auto"/>
        <w:rPr>
          <w:rFonts w:ascii="Times New Roman" w:hAnsi="Times New Roman" w:eastAsia="Calibri" w:cs="Times New Roman"/>
          <w:b/>
          <w:color w:val="7030A0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ab/>
      </w:r>
      <w:r>
        <w:rPr>
          <w:rFonts w:ascii="Times New Roman" w:hAnsi="Times New Roman" w:eastAsia="Calibri" w:cs="Times New Roman"/>
          <w:bCs/>
          <w:sz w:val="24"/>
          <w:szCs w:val="24"/>
        </w:rPr>
        <w:t>Svaki događaj smo promovirali na društvenima mrežama i stranici Općinske narodne knjižnice Babina Greda. Za svakog posjetitelja naših događaja tiskali smo poticajne straničnike s osnovnim kontaktnim informacijama o Knjižnici.</w:t>
      </w:r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  <w:tab/>
      </w:r>
      <w:r>
        <w:rPr>
          <w:rFonts w:ascii="Times New Roman" w:hAnsi="Times New Roman" w:eastAsia="Calibri" w:cs="Times New Roman"/>
          <w:bCs/>
          <w:sz w:val="24"/>
          <w:szCs w:val="24"/>
        </w:rPr>
        <w:t>Kao dio promidžbe usluga Knjižnice darivali smo našu najčitateljicu, učenicu 2. razreda Katarinu Koturić s knjigom „ Vera među knjigama“ (Ibis grafika).</w:t>
      </w:r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</w:p>
    <w:p>
      <w:pPr>
        <w:keepNext/>
        <w:spacing w:before="240" w:after="60" w:line="240" w:lineRule="auto"/>
        <w:jc w:val="both"/>
        <w:outlineLvl w:val="0"/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</w:pPr>
    </w:p>
    <w:p>
      <w:pPr>
        <w:keepNext/>
        <w:spacing w:before="240" w:after="60" w:line="240" w:lineRule="auto"/>
        <w:jc w:val="both"/>
        <w:outlineLvl w:val="0"/>
        <w:rPr>
          <w:rFonts w:ascii="Times New Roman" w:hAnsi="Times New Roman" w:eastAsia="Times New Roman" w:cs="Times New Roman"/>
          <w:b/>
          <w:bCs/>
          <w:kern w:val="32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b/>
          <w:bCs/>
          <w:kern w:val="32"/>
          <w:sz w:val="24"/>
          <w:szCs w:val="24"/>
          <w:lang w:eastAsia="hr-HR"/>
        </w:rPr>
        <w:t>Kućice knjižnice</w:t>
      </w:r>
    </w:p>
    <w:p>
      <w:pPr>
        <w:keepNext/>
        <w:spacing w:before="240" w:after="60" w:line="240" w:lineRule="auto"/>
        <w:outlineLvl w:val="0"/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  <w:t xml:space="preserve">Projekt je i dalje aktualan u knjižničarskim krugovima. Cilj ovog projekta je ponuditi knjigu svim mještanima Babine Grede, jer svaka knjiga ima svoga čitatelja. Knjige se ne moraju vratiti u kućicu knjižnicu, a to su većinom knjige koje su otpisane iz knjižnice ili su do knjižnice došle donacijom. </w:t>
      </w:r>
    </w:p>
    <w:p>
      <w:pPr>
        <w:keepNext/>
        <w:spacing w:before="240" w:after="60" w:line="240" w:lineRule="auto"/>
        <w:outlineLvl w:val="0"/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117475</wp:posOffset>
            </wp:positionV>
            <wp:extent cx="1043940" cy="1043940"/>
            <wp:effectExtent l="0" t="0" r="3810" b="381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  <w:t xml:space="preserve">Ove godine smo upisani u kartu Male slobodne knjižnice Hrvatske koja od 2021. nastoji pobrojiti koliko ima malih kućica knjižnica u Hrvatskoj. </w:t>
      </w:r>
    </w:p>
    <w:p>
      <w:pPr>
        <w:keepNext/>
        <w:spacing w:before="240" w:after="60" w:line="240" w:lineRule="auto"/>
        <w:jc w:val="both"/>
        <w:outlineLvl w:val="0"/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</w:pPr>
    </w:p>
    <w:p>
      <w:pPr>
        <w:keepNext/>
        <w:spacing w:before="240" w:after="60" w:line="240" w:lineRule="auto"/>
        <w:jc w:val="both"/>
        <w:outlineLvl w:val="0"/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</w:pPr>
    </w:p>
    <w:p/>
    <w:p>
      <w:pPr>
        <w:rPr>
          <w:rFonts w:ascii="Times New Roman" w:hAnsi="Times New Roman" w:cs="Times New Roman"/>
          <w:b/>
          <w:bCs/>
          <w:color w:val="C55A11" w:themeColor="accent2" w:themeShade="BF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color w:val="C55A11" w:themeColor="accent2" w:themeShade="BF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Knjižnični fond i korisnici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Knjižnični fond se sastoji od jedinica knjižne i neknjižne građe.  Knjižnica je živi organizam, zato se građa kumulativno nabavlja ili preuzima.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Prinova knjižnične građe dostupna je iz pet različitih izvora: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kupnjom po direktnom odabiru od izdavača,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otkupom građe od strane Ministarstva kulture RH,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poklonom građe od raznih donatora,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otkupom Vukovarsko-srijemske županije,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uvođenjem knjiga koje su zatečene u depou knjižnice.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Knjižnični fond u 2021. godini broji 16. 118 primjerak knjižnične građe. Nabavljeno je  942 knjiga za Odjel za odrasle i Odjel za djecu i mlade.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Kao neknjižna građa kupljene su igračke (9) za igraonicu koje imaju posebnu inventarnu knjigu i ne smiju se posuđivati. </w:t>
      </w:r>
    </w:p>
    <w:tbl>
      <w:tblPr>
        <w:tblStyle w:val="12"/>
        <w:tblpPr w:leftFromText="180" w:rightFromText="180" w:vertAnchor="text" w:horzAnchor="margin" w:tblpXSpec="center" w:tblpY="26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0"/>
        <w:gridCol w:w="3629"/>
        <w:gridCol w:w="20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hr-HR"/>
              </w:rPr>
              <w:t>Primljeno kn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hr-HR"/>
              </w:rPr>
              <w:t>Utrošeno kn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hr-HR"/>
              </w:rPr>
              <w:t>Ministarstvo kulture i medija RH</w:t>
            </w:r>
          </w:p>
        </w:tc>
        <w:tc>
          <w:tcPr>
            <w:tcW w:w="3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hr-HR"/>
              </w:rPr>
              <w:t>25.000,00 kuna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hr-HR"/>
              </w:rPr>
              <w:t>25.000,00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hr-HR"/>
              </w:rPr>
              <w:t>Vukovarsko-srijemska županija</w:t>
            </w:r>
          </w:p>
        </w:tc>
        <w:tc>
          <w:tcPr>
            <w:tcW w:w="3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hr-HR"/>
              </w:rPr>
              <w:t>6.000,00 kuna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hr-HR"/>
              </w:rPr>
              <w:t>6.000,00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hr-HR"/>
              </w:rPr>
              <w:t>Općina BabinaGreda</w:t>
            </w:r>
          </w:p>
        </w:tc>
        <w:tc>
          <w:tcPr>
            <w:tcW w:w="3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hr-HR"/>
              </w:rPr>
              <w:t>33.182,92 kuna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hr-HR"/>
              </w:rPr>
              <w:t>33.182,92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Nabava knjižnice se financira iz zakonski predviđenih izvora financiranja: sredstava osnivača (Općina Babina Greda), prihoda za posebne namjene (Ministarstvo kulture RH i Vukovarsko-srijemska županija).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Statistikom posudbe praćene knjižničnim programom MetelWin omogućeno je precizno praćenje obrta građe kroz posudbu izvan prostora knjižnice.</w:t>
      </w:r>
    </w:p>
    <w:p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Programska podrška MetelWin, uvedena u knjižnicu početkom 2008. omogućava evidenciju obrta  građe (posudba/vraćanje/produženje) i niz različitih statističkih podataka. 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Svaki je korisnik evidentiran bar-kodom svoje članske iskaznice i obrt svake jedinice građe zabilježen je bar-kodom te jedinice u računalnoj bazi pa su podaci  u potpunosti precizni.</w:t>
      </w:r>
    </w:p>
    <w:p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Nova usluga je besplatna mobilna aplikacija za naše korisnike.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Aplikacija omogućuje: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Pretraživanje kataloga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Digitalnu iskaznicu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Praćenje novosti u knjižnici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Korisnički pristup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 pristup aplikaciji potrebno vam je korisničko ime i lozinka. Korisničko ime je e-mail adresa koju morate dostaviti knjižnici, a lozinka je broj vaše članske iskaznice. Dostupna je verzija za Android mobilne telefone, uskoro i za Apple.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Aplikaciju je izradio Point d.o.o.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Ukupan broj članova je 280, dok je novoupisanih 42. Ukupno je bilo 6230 fizičkih posjeta Knjižnici.</w:t>
      </w:r>
    </w:p>
    <w:p>
      <w:pPr>
        <w:keepNext/>
        <w:spacing w:before="240" w:after="60" w:line="240" w:lineRule="auto"/>
        <w:jc w:val="both"/>
        <w:outlineLvl w:val="0"/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</w:pPr>
      <w:r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  <w:drawing>
          <wp:inline distT="0" distB="0" distL="0" distR="0">
            <wp:extent cx="2247900" cy="2819400"/>
            <wp:effectExtent l="0" t="0" r="0" b="0"/>
            <wp:docPr id="24" name="Grafikon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bCs/>
          <w:kern w:val="32"/>
          <w:sz w:val="24"/>
          <w:szCs w:val="24"/>
          <w:lang w:eastAsia="hr-HR"/>
        </w:rPr>
        <w:drawing>
          <wp:inline distT="0" distB="0" distL="0" distR="0">
            <wp:extent cx="2181225" cy="2809875"/>
            <wp:effectExtent l="0" t="0" r="9525" b="9525"/>
            <wp:docPr id="25" name="Grafikon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Periodika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Tijekom 2021. godine knjižnica je redovito kupnjom nabavljala novine i časopise, no po  Standardima  nije  ih  dužna  trajno  čuvati,  osim  po  1  primjerak  dnevnih  novina godinu dana (u našem slučaju čuva se Glas Slavonije). S obzirom na to, časopisi i novine su i dalje pohranjeni u depou knjižnice. </w:t>
      </w:r>
    </w:p>
    <w:p>
      <w:pPr>
        <w:shd w:val="clear" w:color="auto" w:fill="FFFFFF" w:themeFill="background1"/>
        <w:rPr>
          <w:rFonts w:ascii="Times New Roman" w:hAnsi="Times New Roman" w:eastAsia="Times New Roman" w:cs="Times New Roman"/>
          <w:bCs/>
          <w:outline/>
          <w:color w:val="5B9BD5" w:themeColor="accent1"/>
          <w:kern w:val="32"/>
          <w:sz w:val="28"/>
          <w:szCs w:val="28"/>
          <w:lang w:eastAsia="hr-HR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shd w:val="clear" w:color="auto" w:fill="FFFFFF" w:themeFill="background1"/>
        <w:rPr>
          <w:rFonts w:ascii="Times New Roman" w:hAnsi="Times New Roman" w:cs="Times New Roman"/>
          <w:outline/>
          <w:color w:val="5B9BD5" w:themeColor="accent1"/>
          <w:sz w:val="24"/>
          <w:szCs w:val="24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</w:pPr>
    </w:p>
    <w:p>
      <w:pPr>
        <w:shd w:val="clear" w:color="auto" w:fill="FFFFFF" w:themeFill="background1"/>
        <w:rPr>
          <w:rFonts w:ascii="Times New Roman" w:hAnsi="Times New Roman" w:cs="Times New Roman"/>
          <w:outline/>
          <w:color w:val="5B9BD5" w:themeColor="accen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Times New Roman" w:hAnsi="Times New Roman" w:eastAsia="Times New Roman" w:cs="Times New Roman"/>
          <w:bCs/>
          <w:outline/>
          <w:color w:val="C55A11" w:themeColor="accent2" w:themeShade="BF"/>
          <w:kern w:val="32"/>
          <w:sz w:val="28"/>
          <w:szCs w:val="28"/>
          <w:lang w:eastAsia="hr-HR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Zaključak</w:t>
      </w:r>
    </w:p>
    <w:p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Općinska  narodna  knjižnica  Babina  Greda  svojim  djelovanjem  osigurava  pristup znanju  i  prepoznata  je  kao  kulturno  mjesto  Općine.  </w:t>
      </w:r>
    </w:p>
    <w:p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Kao dnevni boravak Općine, Knjižnica postaje treće mjesto u životu svih mještana. </w:t>
      </w:r>
    </w:p>
    <w:p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Održavanjem  Facebook  stranice,  služeći  se  suvremenim  društvenim mrežama, Knjižnica postaje dostupnija za korisnike i ono koji nisu korisnici, pa čak i izvan Općine.</w:t>
      </w:r>
    </w:p>
    <w:p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Ciljevi budućeg razvoja knjižnice neraskidivo su vezani s povećanjem broja zaposlenih i osiguravanjem opreme koja će nam pomoći obuhvatiti i marginalizirane skupine društva.</w:t>
      </w:r>
    </w:p>
    <w:p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Knjižnica će nastaviti svoj rad, bez obzira na kadrovske nedostatke i nedostatke samog prostora.. Potiče korisnike različitih profila na služenje dostupnim zbirkama. Osim što je Knjižnica mjesto za rad, ona je ugodno mjesto za igru i druženje.</w:t>
      </w:r>
    </w:p>
    <w:p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2022. godini težit ćemo što boljoj suradnji s mještanima kako bi prepoznali na vrijeme njihove potrebe, a dat ćemo naglasak na djecu koja su u ovoj pandemiji izgubili naviku odlaska u knjižnicu radi druženja, zabave i znanja. </w:t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5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210"/>
        <w:gridCol w:w="331"/>
        <w:gridCol w:w="1037"/>
        <w:gridCol w:w="45"/>
        <w:gridCol w:w="1133"/>
        <w:gridCol w:w="111"/>
        <w:gridCol w:w="20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7653" w:type="dxa"/>
          </w:tcPr>
          <w:tbl>
            <w:tblPr>
              <w:tblStyle w:val="5"/>
              <w:tblW w:w="0" w:type="auto"/>
              <w:tblInd w:w="0" w:type="dxa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210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56" w:hRule="atLeast"/>
              </w:trPr>
              <w:tc>
                <w:tcPr>
                  <w:tcW w:w="765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OPĆINSKA NARODNA KNJIŽNICA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425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1077" w:type="dxa"/>
          </w:tcPr>
          <w:tbl>
            <w:tblPr>
              <w:tblStyle w:val="5"/>
              <w:tblW w:w="0" w:type="auto"/>
              <w:tblInd w:w="0" w:type="dxa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37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56" w:hRule="atLeast"/>
              </w:trPr>
              <w:tc>
                <w:tcPr>
                  <w:tcW w:w="107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Datum: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56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1133" w:type="dxa"/>
          </w:tcPr>
          <w:tbl>
            <w:tblPr>
              <w:tblStyle w:val="5"/>
              <w:tblW w:w="0" w:type="auto"/>
              <w:tblInd w:w="0" w:type="dxa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133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5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03.03.2022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41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283" w:type="dxa"/>
          </w:tcPr>
          <w:p>
            <w:pPr>
              <w:pStyle w:val="25"/>
              <w:spacing w:after="0" w:line="240" w:lineRule="auto"/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" w:hRule="atLeast"/>
        </w:trPr>
        <w:tc>
          <w:tcPr>
            <w:tcW w:w="7653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425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1077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56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1133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141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283" w:type="dxa"/>
          </w:tcPr>
          <w:p>
            <w:pPr>
              <w:pStyle w:val="25"/>
              <w:spacing w:after="0" w:line="240" w:lineRule="auto"/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7653" w:type="dxa"/>
          </w:tcPr>
          <w:tbl>
            <w:tblPr>
              <w:tblStyle w:val="5"/>
              <w:tblW w:w="0" w:type="auto"/>
              <w:tblInd w:w="0" w:type="dxa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210"/>
            </w:tblGrid>
            <w:tr>
              <w:trPr>
                <w:trHeight w:val="256" w:hRule="atLeast"/>
              </w:trPr>
              <w:tc>
                <w:tcPr>
                  <w:tcW w:w="765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425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1077" w:type="dxa"/>
          </w:tcPr>
          <w:tbl>
            <w:tblPr>
              <w:tblStyle w:val="5"/>
              <w:tblW w:w="0" w:type="auto"/>
              <w:tblInd w:w="0" w:type="dxa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37"/>
            </w:tblGrid>
            <w:tr>
              <w:trPr>
                <w:trHeight w:val="256" w:hRule="atLeast"/>
              </w:trPr>
              <w:tc>
                <w:tcPr>
                  <w:tcW w:w="107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Vrijeme: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56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1133" w:type="dxa"/>
          </w:tcPr>
          <w:tbl>
            <w:tblPr>
              <w:tblStyle w:val="5"/>
              <w:tblW w:w="0" w:type="auto"/>
              <w:tblInd w:w="0" w:type="dxa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133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5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7:58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41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283" w:type="dxa"/>
          </w:tcPr>
          <w:p>
            <w:pPr>
              <w:pStyle w:val="25"/>
              <w:spacing w:after="0" w:line="240" w:lineRule="auto"/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" w:hRule="atLeast"/>
        </w:trPr>
        <w:tc>
          <w:tcPr>
            <w:tcW w:w="7653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425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1077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56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1133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141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283" w:type="dxa"/>
          </w:tcPr>
          <w:p>
            <w:pPr>
              <w:pStyle w:val="25"/>
              <w:spacing w:after="0" w:line="240" w:lineRule="auto"/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7653" w:type="dxa"/>
            <w:gridSpan w:val="5"/>
          </w:tcPr>
          <w:tbl>
            <w:tblPr>
              <w:tblStyle w:val="5"/>
              <w:tblW w:w="0" w:type="auto"/>
              <w:tblInd w:w="0" w:type="dxa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8756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56" w:hRule="atLeast"/>
              </w:trPr>
              <w:tc>
                <w:tcPr>
                  <w:tcW w:w="103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Vladimira Nazora 1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41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283" w:type="dxa"/>
          </w:tcPr>
          <w:p>
            <w:pPr>
              <w:pStyle w:val="25"/>
              <w:spacing w:after="0" w:line="240" w:lineRule="auto"/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" w:hRule="atLeast"/>
        </w:trPr>
        <w:tc>
          <w:tcPr>
            <w:tcW w:w="7653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425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1077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56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1133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141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283" w:type="dxa"/>
          </w:tcPr>
          <w:p>
            <w:pPr>
              <w:pStyle w:val="25"/>
              <w:spacing w:after="0" w:line="240" w:lineRule="auto"/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7653" w:type="dxa"/>
            <w:gridSpan w:val="5"/>
          </w:tcPr>
          <w:tbl>
            <w:tblPr>
              <w:tblStyle w:val="5"/>
              <w:tblW w:w="0" w:type="auto"/>
              <w:tblInd w:w="0" w:type="dxa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8756"/>
            </w:tblGrid>
            <w:tr>
              <w:trPr>
                <w:trHeight w:val="256" w:hRule="atLeast"/>
              </w:trPr>
              <w:tc>
                <w:tcPr>
                  <w:tcW w:w="103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32276 Babina Greda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41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283" w:type="dxa"/>
          </w:tcPr>
          <w:p>
            <w:pPr>
              <w:pStyle w:val="25"/>
              <w:spacing w:after="0" w:line="240" w:lineRule="auto"/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" w:hRule="atLeast"/>
        </w:trPr>
        <w:tc>
          <w:tcPr>
            <w:tcW w:w="7653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425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1077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56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1133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141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283" w:type="dxa"/>
          </w:tcPr>
          <w:p>
            <w:pPr>
              <w:pStyle w:val="25"/>
              <w:spacing w:after="0" w:line="240" w:lineRule="auto"/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7653" w:type="dxa"/>
            <w:gridSpan w:val="5"/>
          </w:tcPr>
          <w:tbl>
            <w:tblPr>
              <w:tblStyle w:val="5"/>
              <w:tblW w:w="0" w:type="auto"/>
              <w:tblInd w:w="0" w:type="dxa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8756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56" w:hRule="atLeast"/>
              </w:trPr>
              <w:tc>
                <w:tcPr>
                  <w:tcW w:w="103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OIB: 11435077259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41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283" w:type="dxa"/>
          </w:tcPr>
          <w:p>
            <w:pPr>
              <w:pStyle w:val="25"/>
              <w:spacing w:after="0" w:line="240" w:lineRule="auto"/>
            </w:pPr>
          </w:p>
        </w:tc>
      </w:tr>
      <w:tr>
        <w:trPr>
          <w:trHeight w:val="168" w:hRule="atLeast"/>
        </w:trPr>
        <w:tc>
          <w:tcPr>
            <w:tcW w:w="7653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425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1077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56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1133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141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283" w:type="dxa"/>
          </w:tcPr>
          <w:p>
            <w:pPr>
              <w:pStyle w:val="25"/>
              <w:spacing w:after="0" w:line="240" w:lineRule="auto"/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7653" w:type="dxa"/>
            <w:gridSpan w:val="6"/>
          </w:tcPr>
          <w:tbl>
            <w:tblPr>
              <w:tblStyle w:val="5"/>
              <w:tblW w:w="0" w:type="auto"/>
              <w:tblInd w:w="0" w:type="dxa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8867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18" w:hRule="atLeast"/>
              </w:trPr>
              <w:tc>
                <w:tcPr>
                  <w:tcW w:w="104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24"/>
                    </w:rPr>
                    <w:t>IZMJENE I DOPUNE PLANA PRORAČUNA ZA 2021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283" w:type="dxa"/>
          </w:tcPr>
          <w:p>
            <w:pPr>
              <w:pStyle w:val="25"/>
              <w:spacing w:after="0" w:line="240" w:lineRule="auto"/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7653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425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1077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56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1133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141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283" w:type="dxa"/>
          </w:tcPr>
          <w:p>
            <w:pPr>
              <w:pStyle w:val="25"/>
              <w:spacing w:after="0" w:line="240" w:lineRule="auto"/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7653" w:type="dxa"/>
            <w:gridSpan w:val="6"/>
          </w:tcPr>
          <w:tbl>
            <w:tblPr>
              <w:tblStyle w:val="5"/>
              <w:tblW w:w="0" w:type="auto"/>
              <w:tblInd w:w="0" w:type="dxa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8867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18" w:hRule="atLeast"/>
              </w:trPr>
              <w:tc>
                <w:tcPr>
                  <w:tcW w:w="104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20"/>
                    </w:rPr>
                    <w:t>za razdoblje od 1.1.2021. do 31.12.2021.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283" w:type="dxa"/>
          </w:tcPr>
          <w:p>
            <w:pPr>
              <w:pStyle w:val="25"/>
              <w:spacing w:after="0" w:line="240" w:lineRule="auto"/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atLeast"/>
        </w:trPr>
        <w:tc>
          <w:tcPr>
            <w:tcW w:w="7653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425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1077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56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1133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141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283" w:type="dxa"/>
          </w:tcPr>
          <w:p>
            <w:pPr>
              <w:pStyle w:val="25"/>
              <w:spacing w:after="0" w:line="240" w:lineRule="auto"/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53" w:type="dxa"/>
            <w:gridSpan w:val="6"/>
          </w:tcPr>
          <w:tbl>
            <w:tblPr>
              <w:tblStyle w:val="5"/>
              <w:tblW w:w="0" w:type="auto"/>
              <w:tblInd w:w="0" w:type="dxa"/>
              <w:tblBorders>
                <w:top w:val="none" w:color="000000" w:sz="6" w:space="0"/>
                <w:left w:val="none" w:color="000000" w:sz="6" w:space="0"/>
                <w:bottom w:val="none" w:color="000000" w:sz="6" w:space="0"/>
                <w:right w:val="none" w:color="000000" w:sz="6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8867"/>
            </w:tblGrid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41" w:hRule="atLeast"/>
              </w:trPr>
              <w:tc>
                <w:tcPr>
                  <w:tcW w:w="10488" w:type="dxa"/>
                </w:tcPr>
                <w:p>
                  <w:pPr>
                    <w:pStyle w:val="25"/>
                    <w:spacing w:after="0" w:line="240" w:lineRule="auto"/>
                  </w:pP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10488" w:type="dxa"/>
                </w:tcPr>
                <w:tbl>
                  <w:tblPr>
                    <w:tblStyle w:val="5"/>
                    <w:tblW w:w="0" w:type="auto"/>
                    <w:tblInd w:w="0" w:type="dxa"/>
                    <w:tblBorders>
                      <w:top w:val="none" w:color="000000" w:sz="6" w:space="0"/>
                      <w:left w:val="none" w:color="000000" w:sz="6" w:space="0"/>
                      <w:bottom w:val="none" w:color="000000" w:sz="6" w:space="0"/>
                      <w:right w:val="none" w:color="000000" w:sz="6" w:space="0"/>
                      <w:insideH w:val="none" w:color="auto" w:sz="0" w:space="0"/>
                      <w:insideV w:val="none" w:color="auto" w:sz="0" w:space="0"/>
                    </w:tblBorders>
                    <w:tblLayout w:type="autofit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8867"/>
                  </w:tblGrid>
                  <w:tr>
                    <w:tblPrEx>
                      <w:tblBorders>
                        <w:top w:val="none" w:color="000000" w:sz="6" w:space="0"/>
                        <w:left w:val="none" w:color="000000" w:sz="6" w:space="0"/>
                        <w:bottom w:val="none" w:color="000000" w:sz="6" w:space="0"/>
                        <w:right w:val="none" w:color="000000" w:sz="6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5499" w:hRule="atLeast"/>
                    </w:trPr>
                    <w:tc>
                      <w:tcPr>
                        <w:tcW w:w="10488" w:type="dxa"/>
                      </w:tcPr>
                      <w:tbl>
                        <w:tblPr>
                          <w:tblStyle w:val="5"/>
                          <w:tblW w:w="0" w:type="auto"/>
                          <w:tblInd w:w="0" w:type="dxa"/>
                          <w:tblBorders>
                            <w:top w:val="none" w:color="000000" w:sz="6" w:space="0"/>
                            <w:left w:val="none" w:color="000000" w:sz="6" w:space="0"/>
                            <w:bottom w:val="none" w:color="000000" w:sz="6" w:space="0"/>
                            <w:right w:val="none" w:color="000000" w:sz="6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autofit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1088"/>
                          <w:gridCol w:w="1090"/>
                          <w:gridCol w:w="3849"/>
                          <w:gridCol w:w="1399"/>
                          <w:gridCol w:w="1441"/>
                        </w:tblGrid>
                        <w:tr>
                          <w:tblPrEx>
                            <w:tblBorders>
                              <w:top w:val="none" w:color="000000" w:sz="6" w:space="0"/>
                              <w:left w:val="none" w:color="000000" w:sz="6" w:space="0"/>
                              <w:bottom w:val="none" w:color="000000" w:sz="6" w:space="0"/>
                              <w:right w:val="none" w:color="000000" w:sz="6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05" w:hRule="atLeast"/>
                          </w:trPr>
                          <w:tc>
                            <w:tcPr>
                              <w:tcW w:w="1133" w:type="dxa"/>
                              <w:tcBorders>
                                <w:top w:val="single" w:color="000000" w:sz="6" w:space="0"/>
                                <w:left w:val="nil"/>
                                <w:bottom w:val="single" w:color="000000" w:sz="6" w:space="0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POZICIJA</w:t>
                              </w:r>
                            </w:p>
                          </w:tc>
                          <w:tc>
                            <w:tcPr>
                              <w:tcW w:w="1275" w:type="dxa"/>
                              <w:tcBorders>
                                <w:top w:val="single" w:color="000000" w:sz="6" w:space="0"/>
                                <w:left w:val="nil"/>
                                <w:bottom w:val="single" w:color="000000" w:sz="6" w:space="0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BROJ KONTA</w:t>
                              </w:r>
                            </w:p>
                          </w:tc>
                          <w:tc>
                            <w:tcPr>
                              <w:tcW w:w="4960" w:type="dxa"/>
                              <w:tcBorders>
                                <w:top w:val="single" w:color="000000" w:sz="6" w:space="0"/>
                                <w:left w:val="nil"/>
                                <w:bottom w:val="single" w:color="000000" w:sz="6" w:space="0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VRSTA PRIHODA / PRIMITAKA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single" w:color="000000" w:sz="6" w:space="0"/>
                                <w:left w:val="nil"/>
                                <w:bottom w:val="single" w:color="000000" w:sz="6" w:space="0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PLANIRANO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single" w:color="000000" w:sz="6" w:space="0"/>
                                <w:left w:val="nil"/>
                                <w:bottom w:val="single" w:color="000000" w:sz="6" w:space="0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REALIZIRANO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none" w:color="000000" w:sz="6" w:space="0"/>
                              <w:left w:val="none" w:color="000000" w:sz="6" w:space="0"/>
                              <w:bottom w:val="none" w:color="000000" w:sz="6" w:space="0"/>
                              <w:right w:val="none" w:color="000000" w:sz="6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26" w:hRule="atLeast"/>
                          </w:trPr>
                          <w:tc>
                            <w:tcPr>
                              <w:tcW w:w="113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96969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rPr>
                                  <w:sz w:val="0"/>
                                </w:rPr>
                              </w:pPr>
                            </w:p>
                          </w:tc>
                          <w:tc>
                            <w:tcPr>
                              <w:tcW w:w="12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96969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rPr>
                                  <w:sz w:val="0"/>
                                </w:rPr>
                              </w:pPr>
                            </w:p>
                          </w:tc>
                          <w:tc>
                            <w:tcPr>
                              <w:tcW w:w="49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96969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z w:val="16"/>
                                </w:rPr>
                                <w:t>SVEUKUPNO PRIHODI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96969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z w:val="16"/>
                                </w:rPr>
                                <w:t>248.580,00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696969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z w:val="16"/>
                                </w:rPr>
                                <w:t>241.297,75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none" w:color="000000" w:sz="6" w:space="0"/>
                              <w:left w:val="none" w:color="000000" w:sz="6" w:space="0"/>
                              <w:bottom w:val="none" w:color="000000" w:sz="6" w:space="0"/>
                              <w:right w:val="none" w:color="000000" w:sz="6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26" w:hRule="atLeast"/>
                          </w:trPr>
                          <w:tc>
                            <w:tcPr>
                              <w:tcW w:w="113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 xml:space="preserve">Izvor </w:t>
                              </w:r>
                            </w:p>
                          </w:tc>
                          <w:tc>
                            <w:tcPr>
                              <w:tcW w:w="12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1.1.</w:t>
                              </w:r>
                            </w:p>
                          </w:tc>
                          <w:tc>
                            <w:tcPr>
                              <w:tcW w:w="49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Opći prihodi i primici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196.580,00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189.741,69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none" w:color="000000" w:sz="6" w:space="0"/>
                              <w:left w:val="none" w:color="000000" w:sz="6" w:space="0"/>
                              <w:bottom w:val="none" w:color="000000" w:sz="6" w:space="0"/>
                              <w:right w:val="none" w:color="000000" w:sz="6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26" w:hRule="atLeast"/>
                          </w:trPr>
                          <w:tc>
                            <w:tcPr>
                              <w:tcW w:w="113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 xml:space="preserve">Funkcijska klasifikacija </w:t>
                              </w:r>
                            </w:p>
                          </w:tc>
                          <w:tc>
                            <w:tcPr>
                              <w:tcW w:w="12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08</w:t>
                              </w:r>
                            </w:p>
                          </w:tc>
                          <w:tc>
                            <w:tcPr>
                              <w:tcW w:w="49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"Rekreacija, kultura i religija"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196.580,00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189.741,69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none" w:color="000000" w:sz="6" w:space="0"/>
                              <w:left w:val="none" w:color="000000" w:sz="6" w:space="0"/>
                              <w:bottom w:val="none" w:color="000000" w:sz="6" w:space="0"/>
                              <w:right w:val="none" w:color="000000" w:sz="6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26" w:hRule="atLeast"/>
                          </w:trPr>
                          <w:tc>
                            <w:tcPr>
                              <w:tcW w:w="113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 xml:space="preserve">Funkcijska klasifikacija </w:t>
                              </w:r>
                            </w:p>
                          </w:tc>
                          <w:tc>
                            <w:tcPr>
                              <w:tcW w:w="12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082</w:t>
                              </w:r>
                            </w:p>
                          </w:tc>
                          <w:tc>
                            <w:tcPr>
                              <w:tcW w:w="49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Službe kulture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196.580,00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189.741,69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none" w:color="000000" w:sz="6" w:space="0"/>
                              <w:left w:val="none" w:color="000000" w:sz="6" w:space="0"/>
                              <w:bottom w:val="none" w:color="000000" w:sz="6" w:space="0"/>
                              <w:right w:val="none" w:color="000000" w:sz="6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26" w:hRule="atLeast"/>
                          </w:trPr>
                          <w:tc>
                            <w:tcPr>
                              <w:tcW w:w="113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 xml:space="preserve">Funkcijska klasifikacija </w:t>
                              </w:r>
                            </w:p>
                          </w:tc>
                          <w:tc>
                            <w:tcPr>
                              <w:tcW w:w="12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0820</w:t>
                              </w:r>
                            </w:p>
                          </w:tc>
                          <w:tc>
                            <w:tcPr>
                              <w:tcW w:w="49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Službe kulture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196.580,00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189.741,69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none" w:color="000000" w:sz="6" w:space="0"/>
                              <w:left w:val="none" w:color="000000" w:sz="6" w:space="0"/>
                              <w:bottom w:val="none" w:color="000000" w:sz="6" w:space="0"/>
                              <w:right w:val="none" w:color="000000" w:sz="6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26" w:hRule="atLeast"/>
                          </w:trPr>
                          <w:tc>
                            <w:tcPr>
                              <w:tcW w:w="113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Razdjel</w:t>
                              </w:r>
                            </w:p>
                          </w:tc>
                          <w:tc>
                            <w:tcPr>
                              <w:tcW w:w="12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000</w:t>
                              </w:r>
                            </w:p>
                          </w:tc>
                          <w:tc>
                            <w:tcPr>
                              <w:tcW w:w="49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Prihodi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196.580,00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189.741,69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none" w:color="000000" w:sz="6" w:space="0"/>
                              <w:left w:val="none" w:color="000000" w:sz="6" w:space="0"/>
                              <w:bottom w:val="none" w:color="000000" w:sz="6" w:space="0"/>
                              <w:right w:val="none" w:color="000000" w:sz="6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26" w:hRule="atLeast"/>
                          </w:trPr>
                          <w:tc>
                            <w:tcPr>
                              <w:tcW w:w="113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P003</w:t>
                              </w:r>
                            </w:p>
                          </w:tc>
                          <w:tc>
                            <w:tcPr>
                              <w:tcW w:w="12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64132</w:t>
                              </w:r>
                            </w:p>
                          </w:tc>
                          <w:tc>
                            <w:tcPr>
                              <w:tcW w:w="49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Kamate na depozite po viđenju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500,00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0,01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none" w:color="000000" w:sz="6" w:space="0"/>
                              <w:left w:val="none" w:color="000000" w:sz="6" w:space="0"/>
                              <w:bottom w:val="none" w:color="000000" w:sz="6" w:space="0"/>
                              <w:right w:val="none" w:color="000000" w:sz="6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26" w:hRule="atLeast"/>
                          </w:trPr>
                          <w:tc>
                            <w:tcPr>
                              <w:tcW w:w="113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P004</w:t>
                              </w:r>
                            </w:p>
                          </w:tc>
                          <w:tc>
                            <w:tcPr>
                              <w:tcW w:w="12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65264</w:t>
                              </w:r>
                            </w:p>
                          </w:tc>
                          <w:tc>
                            <w:tcPr>
                              <w:tcW w:w="49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Sufinanciranje cijene usluge, participacije i sl.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0,00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2.626,00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none" w:color="000000" w:sz="6" w:space="0"/>
                              <w:left w:val="none" w:color="000000" w:sz="6" w:space="0"/>
                              <w:bottom w:val="none" w:color="000000" w:sz="6" w:space="0"/>
                              <w:right w:val="none" w:color="000000" w:sz="6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26" w:hRule="atLeast"/>
                          </w:trPr>
                          <w:tc>
                            <w:tcPr>
                              <w:tcW w:w="113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P005</w:t>
                              </w:r>
                            </w:p>
                          </w:tc>
                          <w:tc>
                            <w:tcPr>
                              <w:tcW w:w="12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67111</w:t>
                              </w:r>
                            </w:p>
                          </w:tc>
                          <w:tc>
                            <w:tcPr>
                              <w:tcW w:w="49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Prihodi za financiranje rashoda poslovanja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155.330,00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148.230,31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none" w:color="000000" w:sz="6" w:space="0"/>
                              <w:left w:val="none" w:color="000000" w:sz="6" w:space="0"/>
                              <w:bottom w:val="none" w:color="000000" w:sz="6" w:space="0"/>
                              <w:right w:val="none" w:color="000000" w:sz="6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26" w:hRule="atLeast"/>
                          </w:trPr>
                          <w:tc>
                            <w:tcPr>
                              <w:tcW w:w="113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P006</w:t>
                              </w:r>
                            </w:p>
                          </w:tc>
                          <w:tc>
                            <w:tcPr>
                              <w:tcW w:w="12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67121</w:t>
                              </w:r>
                            </w:p>
                          </w:tc>
                          <w:tc>
                            <w:tcPr>
                              <w:tcW w:w="49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Prihodi za financiranje rashoda za nabavu nefinancijske imovine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40.750,00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38.885,37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none" w:color="000000" w:sz="6" w:space="0"/>
                              <w:left w:val="none" w:color="000000" w:sz="6" w:space="0"/>
                              <w:bottom w:val="none" w:color="000000" w:sz="6" w:space="0"/>
                              <w:right w:val="none" w:color="000000" w:sz="6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26" w:hRule="atLeast"/>
                          </w:trPr>
                          <w:tc>
                            <w:tcPr>
                              <w:tcW w:w="113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 xml:space="preserve">Izvor </w:t>
                              </w:r>
                            </w:p>
                          </w:tc>
                          <w:tc>
                            <w:tcPr>
                              <w:tcW w:w="12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2.1.</w:t>
                              </w:r>
                            </w:p>
                          </w:tc>
                          <w:tc>
                            <w:tcPr>
                              <w:tcW w:w="49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Vlastiti prihodi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12.000,00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5.394,94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none" w:color="000000" w:sz="6" w:space="0"/>
                              <w:left w:val="none" w:color="000000" w:sz="6" w:space="0"/>
                              <w:bottom w:val="none" w:color="000000" w:sz="6" w:space="0"/>
                              <w:right w:val="none" w:color="000000" w:sz="6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26" w:hRule="atLeast"/>
                          </w:trPr>
                          <w:tc>
                            <w:tcPr>
                              <w:tcW w:w="113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 xml:space="preserve">Funkcijska klasifikacija </w:t>
                              </w:r>
                            </w:p>
                          </w:tc>
                          <w:tc>
                            <w:tcPr>
                              <w:tcW w:w="12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08</w:t>
                              </w:r>
                            </w:p>
                          </w:tc>
                          <w:tc>
                            <w:tcPr>
                              <w:tcW w:w="49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"Rekreacija, kultura i religija"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12.000,00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5.394,94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none" w:color="000000" w:sz="6" w:space="0"/>
                              <w:left w:val="none" w:color="000000" w:sz="6" w:space="0"/>
                              <w:bottom w:val="none" w:color="000000" w:sz="6" w:space="0"/>
                              <w:right w:val="none" w:color="000000" w:sz="6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26" w:hRule="atLeast"/>
                          </w:trPr>
                          <w:tc>
                            <w:tcPr>
                              <w:tcW w:w="113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 xml:space="preserve">Funkcijska klasifikacija </w:t>
                              </w:r>
                            </w:p>
                          </w:tc>
                          <w:tc>
                            <w:tcPr>
                              <w:tcW w:w="12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082</w:t>
                              </w:r>
                            </w:p>
                          </w:tc>
                          <w:tc>
                            <w:tcPr>
                              <w:tcW w:w="49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Službe kulture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12.000,00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5.394,94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none" w:color="000000" w:sz="6" w:space="0"/>
                              <w:left w:val="none" w:color="000000" w:sz="6" w:space="0"/>
                              <w:bottom w:val="none" w:color="000000" w:sz="6" w:space="0"/>
                              <w:right w:val="none" w:color="000000" w:sz="6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26" w:hRule="atLeast"/>
                          </w:trPr>
                          <w:tc>
                            <w:tcPr>
                              <w:tcW w:w="113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 xml:space="preserve">Funkcijska klasifikacija </w:t>
                              </w:r>
                            </w:p>
                          </w:tc>
                          <w:tc>
                            <w:tcPr>
                              <w:tcW w:w="12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0820</w:t>
                              </w:r>
                            </w:p>
                          </w:tc>
                          <w:tc>
                            <w:tcPr>
                              <w:tcW w:w="49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Službe kulture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12.000,00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5.394,94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none" w:color="000000" w:sz="6" w:space="0"/>
                              <w:left w:val="none" w:color="000000" w:sz="6" w:space="0"/>
                              <w:bottom w:val="none" w:color="000000" w:sz="6" w:space="0"/>
                              <w:right w:val="none" w:color="000000" w:sz="6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26" w:hRule="atLeast"/>
                          </w:trPr>
                          <w:tc>
                            <w:tcPr>
                              <w:tcW w:w="113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Razdjel</w:t>
                              </w:r>
                            </w:p>
                          </w:tc>
                          <w:tc>
                            <w:tcPr>
                              <w:tcW w:w="12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000</w:t>
                              </w:r>
                            </w:p>
                          </w:tc>
                          <w:tc>
                            <w:tcPr>
                              <w:tcW w:w="49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Prihodi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12.000,00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5.394,94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none" w:color="000000" w:sz="6" w:space="0"/>
                              <w:left w:val="none" w:color="000000" w:sz="6" w:space="0"/>
                              <w:bottom w:val="none" w:color="000000" w:sz="6" w:space="0"/>
                              <w:right w:val="none" w:color="000000" w:sz="6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26" w:hRule="atLeast"/>
                          </w:trPr>
                          <w:tc>
                            <w:tcPr>
                              <w:tcW w:w="113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P007</w:t>
                              </w:r>
                            </w:p>
                          </w:tc>
                          <w:tc>
                            <w:tcPr>
                              <w:tcW w:w="12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65264</w:t>
                              </w:r>
                            </w:p>
                          </w:tc>
                          <w:tc>
                            <w:tcPr>
                              <w:tcW w:w="49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Sufinanciranje cijene usluge, participacije i sl.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12.000,00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5.394,94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none" w:color="000000" w:sz="6" w:space="0"/>
                              <w:left w:val="none" w:color="000000" w:sz="6" w:space="0"/>
                              <w:bottom w:val="none" w:color="000000" w:sz="6" w:space="0"/>
                              <w:right w:val="none" w:color="000000" w:sz="6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26" w:hRule="atLeast"/>
                          </w:trPr>
                          <w:tc>
                            <w:tcPr>
                              <w:tcW w:w="113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 xml:space="preserve">Izvor </w:t>
                              </w:r>
                            </w:p>
                          </w:tc>
                          <w:tc>
                            <w:tcPr>
                              <w:tcW w:w="12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4.1.</w:t>
                              </w:r>
                            </w:p>
                          </w:tc>
                          <w:tc>
                            <w:tcPr>
                              <w:tcW w:w="49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Pomoći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40.000,00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46.161,12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none" w:color="000000" w:sz="6" w:space="0"/>
                              <w:left w:val="none" w:color="000000" w:sz="6" w:space="0"/>
                              <w:bottom w:val="none" w:color="000000" w:sz="6" w:space="0"/>
                              <w:right w:val="none" w:color="000000" w:sz="6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26" w:hRule="atLeast"/>
                          </w:trPr>
                          <w:tc>
                            <w:tcPr>
                              <w:tcW w:w="113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 xml:space="preserve">Funkcijska klasifikacija </w:t>
                              </w:r>
                            </w:p>
                          </w:tc>
                          <w:tc>
                            <w:tcPr>
                              <w:tcW w:w="12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08</w:t>
                              </w:r>
                            </w:p>
                          </w:tc>
                          <w:tc>
                            <w:tcPr>
                              <w:tcW w:w="49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"Rekreacija, kultura i religija"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40.000,00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46.161,12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none" w:color="000000" w:sz="6" w:space="0"/>
                              <w:left w:val="none" w:color="000000" w:sz="6" w:space="0"/>
                              <w:bottom w:val="none" w:color="000000" w:sz="6" w:space="0"/>
                              <w:right w:val="none" w:color="000000" w:sz="6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26" w:hRule="atLeast"/>
                          </w:trPr>
                          <w:tc>
                            <w:tcPr>
                              <w:tcW w:w="113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 xml:space="preserve">Funkcijska klasifikacija </w:t>
                              </w:r>
                            </w:p>
                          </w:tc>
                          <w:tc>
                            <w:tcPr>
                              <w:tcW w:w="12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082</w:t>
                              </w:r>
                            </w:p>
                          </w:tc>
                          <w:tc>
                            <w:tcPr>
                              <w:tcW w:w="49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Službe kulture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40.000,00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46.161,12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none" w:color="000000" w:sz="6" w:space="0"/>
                              <w:left w:val="none" w:color="000000" w:sz="6" w:space="0"/>
                              <w:bottom w:val="none" w:color="000000" w:sz="6" w:space="0"/>
                              <w:right w:val="none" w:color="000000" w:sz="6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26" w:hRule="atLeast"/>
                          </w:trPr>
                          <w:tc>
                            <w:tcPr>
                              <w:tcW w:w="113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 xml:space="preserve">Funkcijska klasifikacija </w:t>
                              </w:r>
                            </w:p>
                          </w:tc>
                          <w:tc>
                            <w:tcPr>
                              <w:tcW w:w="12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0820</w:t>
                              </w:r>
                            </w:p>
                          </w:tc>
                          <w:tc>
                            <w:tcPr>
                              <w:tcW w:w="49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Službe kulture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40.000,00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46.161,12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none" w:color="000000" w:sz="6" w:space="0"/>
                              <w:left w:val="none" w:color="000000" w:sz="6" w:space="0"/>
                              <w:bottom w:val="none" w:color="000000" w:sz="6" w:space="0"/>
                              <w:right w:val="none" w:color="000000" w:sz="6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26" w:hRule="atLeast"/>
                          </w:trPr>
                          <w:tc>
                            <w:tcPr>
                              <w:tcW w:w="113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Razdjel</w:t>
                              </w:r>
                            </w:p>
                          </w:tc>
                          <w:tc>
                            <w:tcPr>
                              <w:tcW w:w="12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000</w:t>
                              </w:r>
                            </w:p>
                          </w:tc>
                          <w:tc>
                            <w:tcPr>
                              <w:tcW w:w="49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Prihodi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40.000,00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000000"/>
                                  <w:sz w:val="16"/>
                                </w:rPr>
                                <w:t>46.161,12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none" w:color="000000" w:sz="6" w:space="0"/>
                              <w:left w:val="none" w:color="000000" w:sz="6" w:space="0"/>
                              <w:bottom w:val="none" w:color="000000" w:sz="6" w:space="0"/>
                              <w:right w:val="none" w:color="000000" w:sz="6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26" w:hRule="atLeast"/>
                          </w:trPr>
                          <w:tc>
                            <w:tcPr>
                              <w:tcW w:w="113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P001</w:t>
                              </w:r>
                            </w:p>
                          </w:tc>
                          <w:tc>
                            <w:tcPr>
                              <w:tcW w:w="12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63311</w:t>
                              </w:r>
                            </w:p>
                          </w:tc>
                          <w:tc>
                            <w:tcPr>
                              <w:tcW w:w="49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Tekuće pomoći iz državnog proračuna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34.000,00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40.161,12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none" w:color="000000" w:sz="6" w:space="0"/>
                              <w:left w:val="none" w:color="000000" w:sz="6" w:space="0"/>
                              <w:bottom w:val="none" w:color="000000" w:sz="6" w:space="0"/>
                              <w:right w:val="none" w:color="000000" w:sz="6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26" w:hRule="atLeast"/>
                          </w:trPr>
                          <w:tc>
                            <w:tcPr>
                              <w:tcW w:w="113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P002</w:t>
                              </w:r>
                            </w:p>
                          </w:tc>
                          <w:tc>
                            <w:tcPr>
                              <w:tcW w:w="12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63312</w:t>
                              </w:r>
                            </w:p>
                          </w:tc>
                          <w:tc>
                            <w:tcPr>
                              <w:tcW w:w="49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lef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Tekuće pomoći iz županijskih proračuna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6.000,00</w:t>
                              </w:r>
                            </w:p>
                          </w:tc>
                          <w:tc>
                            <w:tcPr>
                              <w:tcW w:w="155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0" w:type="dxa"/>
                                <w:left w:w="39" w:type="dxa"/>
                                <w:bottom w:w="0" w:type="dxa"/>
                                <w:right w:w="39" w:type="dxa"/>
                              </w:tcMar>
                              <w:vAlign w:val="center"/>
                            </w:tcPr>
                            <w:p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Arial" w:hAnsi="Arial" w:eastAsia="Arial"/>
                                  <w:color w:val="000000"/>
                                  <w:sz w:val="16"/>
                                </w:rPr>
                                <w:t>6.000,00</w:t>
                              </w:r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</w:p>
                    </w:tc>
                  </w:tr>
                </w:tbl>
                <w:p>
                  <w:pPr>
                    <w:spacing w:after="0" w:line="240" w:lineRule="auto"/>
                  </w:pP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283" w:type="dxa"/>
          </w:tcPr>
          <w:p>
            <w:pPr>
              <w:pStyle w:val="25"/>
              <w:spacing w:after="0" w:line="240" w:lineRule="auto"/>
            </w:pP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Style w:val="5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873"/>
        <w:gridCol w:w="199"/>
      </w:tblGrid>
      <w:tr>
        <w:trPr>
          <w:trHeight w:val="56" w:hRule="atLeast"/>
        </w:trPr>
        <w:tc>
          <w:tcPr>
            <w:tcW w:w="10488" w:type="dxa"/>
          </w:tcPr>
          <w:p>
            <w:pPr>
              <w:pStyle w:val="25"/>
              <w:spacing w:after="0" w:line="240" w:lineRule="auto"/>
            </w:pPr>
          </w:p>
        </w:tc>
        <w:tc>
          <w:tcPr>
            <w:tcW w:w="283" w:type="dxa"/>
          </w:tcPr>
          <w:p>
            <w:pPr>
              <w:pStyle w:val="25"/>
              <w:spacing w:after="0" w:line="240" w:lineRule="auto"/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488" w:type="dxa"/>
          </w:tcPr>
          <w:tbl>
            <w:tblPr>
              <w:tblStyle w:val="5"/>
              <w:tblW w:w="0" w:type="auto"/>
              <w:tblInd w:w="0" w:type="dxa"/>
              <w:tblBorders>
                <w:top w:val="none" w:color="000000" w:sz="6" w:space="0"/>
                <w:left w:val="none" w:color="000000" w:sz="6" w:space="0"/>
                <w:bottom w:val="none" w:color="000000" w:sz="6" w:space="0"/>
                <w:right w:val="none" w:color="000000" w:sz="6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85"/>
              <w:gridCol w:w="1108"/>
              <w:gridCol w:w="3857"/>
              <w:gridCol w:w="1390"/>
              <w:gridCol w:w="1433"/>
            </w:tblGrid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5" w:hRule="atLeast"/>
              </w:trPr>
              <w:tc>
                <w:tcPr>
                  <w:tcW w:w="1133" w:type="dxa"/>
                  <w:tcBorders>
                    <w:top w:val="single" w:color="000000" w:sz="6" w:space="0"/>
                    <w:left w:val="nil"/>
                    <w:bottom w:val="single" w:color="000000" w:sz="6" w:space="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POZICIJA</w:t>
                  </w:r>
                </w:p>
              </w:tc>
              <w:tc>
                <w:tcPr>
                  <w:tcW w:w="1275" w:type="dxa"/>
                  <w:tcBorders>
                    <w:top w:val="single" w:color="000000" w:sz="6" w:space="0"/>
                    <w:left w:val="nil"/>
                    <w:bottom w:val="single" w:color="000000" w:sz="6" w:space="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BROJ KONTA</w:t>
                  </w:r>
                </w:p>
              </w:tc>
              <w:tc>
                <w:tcPr>
                  <w:tcW w:w="4960" w:type="dxa"/>
                  <w:tcBorders>
                    <w:top w:val="single" w:color="000000" w:sz="6" w:space="0"/>
                    <w:left w:val="nil"/>
                    <w:bottom w:val="single" w:color="000000" w:sz="6" w:space="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VRSTA RASHODA / IZDATAKA</w:t>
                  </w:r>
                </w:p>
              </w:tc>
              <w:tc>
                <w:tcPr>
                  <w:tcW w:w="1559" w:type="dxa"/>
                  <w:tcBorders>
                    <w:top w:val="single" w:color="000000" w:sz="6" w:space="0"/>
                    <w:left w:val="nil"/>
                    <w:bottom w:val="single" w:color="000000" w:sz="6" w:space="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PLANIRANO</w:t>
                  </w:r>
                </w:p>
              </w:tc>
              <w:tc>
                <w:tcPr>
                  <w:tcW w:w="1559" w:type="dxa"/>
                  <w:tcBorders>
                    <w:top w:val="single" w:color="000000" w:sz="6" w:space="0"/>
                    <w:left w:val="nil"/>
                    <w:bottom w:val="single" w:color="000000" w:sz="6" w:space="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REALIZIRANO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96969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96969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96969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FFFFFF"/>
                      <w:sz w:val="16"/>
                    </w:rPr>
                    <w:t>SVEUKUPNO RASHODI / IZDACI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96969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FFFFFF"/>
                      <w:sz w:val="16"/>
                    </w:rPr>
                    <w:t>248.580,00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96969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FFFFFF"/>
                      <w:sz w:val="16"/>
                    </w:rPr>
                    <w:t>239.656,07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Glavni program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A01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DJELATNOST KNJIŽNICE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248.580,00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239.656,07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Program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1000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Redovna djelatnost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248.580,00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239.656,07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Aktivnost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A100001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Administrativno, tehničko i stručno osoblje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186.330,00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174.512,58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 xml:space="preserve">Izvor 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1.1.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Opći prihodi i primici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161.830,00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147.470,85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 xml:space="preserve">Funkcijska klasifikacija 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08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"Rekreacija, kultura i religija"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161.830,00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147.470,85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 xml:space="preserve">Funkcijska klasifikacija 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082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Službe kulture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161.830,00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147.470,85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 xml:space="preserve">Funkcijska klasifikacija 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0820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Službe kulture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161.830,00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147.470,85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Razdjel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002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Jedinstveni upravni odjel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161.830,00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147.470,85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Glava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00201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Ustanove u kulturi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161.830,00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147.470,85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R001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31111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Plaće za zaposlene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102.000,00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98.362,14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R002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31219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Ostali nenavedeni rashodi za zaposlene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6.500,00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6.000,00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R003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31321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Doprinosi za obvezno zdravstveno osiguranje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16.830,00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16.054,43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R004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31332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Doprinosi za obvezno osiguranje u slučaju nezaposlenosti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0,00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R005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32115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Naknade za prijevoz na službenom putu u zemlji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2.000,00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0,00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R006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32121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Naknade za prijevoz na posao i s posla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11.000,00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10.480,00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R007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32131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Seminari, savjetovanja i simpoziji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2.000,00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0,00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R008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32211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Uredski materijal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5.000,00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6.526,41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R009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32212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Literatura (publikacije, časopisi, glasila, knjige i ostalo)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5.000,00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4.126,70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R010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32214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Materijal i sredstva za čišćenje i održavanje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1.000,00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709,35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R021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32233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Plin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0,00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R022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32321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Usluge tekućeg i investicijskog održavanja građevinskih objekata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0,00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R012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32322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Usluge tekućeg i investicijskog održavanja postrojenja i opreme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1.000,00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239,52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R023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32339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Ostale usluge promidžbe i informiranja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500,00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0,00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R024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32372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Ugovori o djelu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0,00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R016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34312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Usluge platnog prometa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3.000,00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1.776,30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R020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42211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Računala i računalna oprema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3.500,00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3.196,00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R029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42212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Uredski namještaj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2.500,00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0,00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R019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42273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Oprema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0,00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 xml:space="preserve">Izvor 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2.1.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Vlastiti prihodi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12.000,00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12.850,27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 xml:space="preserve">Funkcijska klasifikacija 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08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"Rekreacija, kultura i religija"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12.000,00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12.850,27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 xml:space="preserve">Funkcijska klasifikacija 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082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Službe kulture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12.000,00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12.850,27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 xml:space="preserve">Funkcijska klasifikacija 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0820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Službe kulture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12.000,00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12.850,27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Razdjel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002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Jedinstveni upravni odjel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12.000,00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12.850,27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Glava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00201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Ustanove u kulturi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12.000,00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12.850,27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R011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32311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Usluge telefona, telefaksa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4.000,00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4.488,98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R014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32313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Poštarina (pisma, tiskanice i sl.)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1.000,00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270,53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R013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32381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Usluge ažuriranja računalnih baza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2.000,00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1.500,00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R015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32931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Reprezentacija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1.000,00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404,56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R017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32999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Ostali nespomenuti rashodi poslovanja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4.000,00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4.174,40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R025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32999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Ostali nespomenuti rashodi poslovanja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2.011,80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 xml:space="preserve">Izvor 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4.1.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Pomoći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12.500,00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14.191,46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 xml:space="preserve">Funkcijska klasifikacija 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08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"Rekreacija, kultura i religija"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12.500,00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14.191,46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 xml:space="preserve">Funkcijska klasifikacija 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082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Službe kulture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12.500,00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14.191,46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 xml:space="preserve">Funkcijska klasifikacija 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0820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Službe kulture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12.500,00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14.191,46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Razdjel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002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Jedinstveni upravni odjel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12.500,00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14.191,46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Glava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00201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Ustanove u kulturi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12.500,00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14.191,46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R026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32372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Ugovori o djelu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0,00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R027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42212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Uredski namještaj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12.500,00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14.191,46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Kapitalni projekt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K100003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Nabavka knjiga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62.250,00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65.143,49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 xml:space="preserve">Izvor 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1.1.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Opći prihodi i primici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34.750,00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28.601,91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 xml:space="preserve">Funkcijska klasifikacija 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08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"Rekreacija, kultura i religija"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34.750,00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28.601,91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 xml:space="preserve">Funkcijska klasifikacija 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082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Službe kulture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34.750,00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28.601,91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 xml:space="preserve">Funkcijska klasifikacija 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0820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Službe kulture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34.750,00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28.601,91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Razdjel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002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Jedinstveni upravni odjel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34.750,00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28.601,91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Glava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00201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Ustanove u kulturi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34.750,00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28.601,91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R028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42411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Knjige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34.750,00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28.601,91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 xml:space="preserve">Izvor 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4.1.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Pomoći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27.500,00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36.541,58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 xml:space="preserve">Funkcijska klasifikacija 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08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"Rekreacija, kultura i religija"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27.500,00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36.541,58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 xml:space="preserve">Funkcijska klasifikacija 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082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Službe kulture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27.500,00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36.541,58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 xml:space="preserve">Funkcijska klasifikacija 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0820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Službe kulture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27.500,00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36.541,58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Razdjel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002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Jedinstveni upravni odjel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27.500,00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36.541,58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Glava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00201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Ustanove u kulturi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27.500,00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b/>
                      <w:color w:val="000000"/>
                      <w:sz w:val="16"/>
                    </w:rPr>
                    <w:t>36.541,58</w:t>
                  </w:r>
                </w:p>
              </w:tc>
            </w:tr>
            <w:tr>
              <w:tblPrEx>
                <w:tblBorders>
                  <w:top w:val="none" w:color="000000" w:sz="6" w:space="0"/>
                  <w:left w:val="none" w:color="000000" w:sz="6" w:space="0"/>
                  <w:bottom w:val="none" w:color="000000" w:sz="6" w:space="0"/>
                  <w:right w:val="non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6" w:hRule="atLeast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R018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42411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Knjige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27.500,00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right"/>
                  </w:pPr>
                  <w:r>
                    <w:rPr>
                      <w:rFonts w:ascii="Arial" w:hAnsi="Arial" w:eastAsia="Arial"/>
                      <w:color w:val="000000"/>
                      <w:sz w:val="16"/>
                    </w:rPr>
                    <w:t>36.541,58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283" w:type="dxa"/>
          </w:tcPr>
          <w:p>
            <w:pPr>
              <w:pStyle w:val="25"/>
              <w:spacing w:after="0" w:line="240" w:lineRule="auto"/>
            </w:pPr>
          </w:p>
        </w:tc>
      </w:tr>
    </w:tbl>
    <w:p>
      <w:pPr>
        <w:spacing w:after="0" w:line="240" w:lineRule="auto"/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>
      <w:footerReference r:id="rId5" w:type="default"/>
      <w:pgSz w:w="11906" w:h="16838"/>
      <w:pgMar w:top="1417" w:right="1417" w:bottom="851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EE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abic Typesetting">
    <w:altName w:val="Mongolian Baiti"/>
    <w:panose1 w:val="03020402040406030203"/>
    <w:charset w:val="B2"/>
    <w:family w:val="swiss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8877543"/>
      <w:docPartObj>
        <w:docPartGallery w:val="autotext"/>
      </w:docPartObj>
    </w:sdtPr>
    <w:sdtContent>
      <w:p>
        <w:pPr>
          <w:pStyle w:val="8"/>
        </w:pPr>
        <w:r>
          <w:rPr>
            <w:lang w:eastAsia="hr-HR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" name="Pravokutnik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Bdr>
                                  <w:top w:val="single" w:color="7E7E7E" w:themeColor="background1" w:themeShade="7F" w:sz="4" w:space="1"/>
                                </w:pBdr>
                                <w:jc w:val="center"/>
                                <w:rPr>
                                  <w:color w:val="ED7D31" w:themeColor="accent2"/>
                                  <w14:textFill>
                                    <w14:solidFill>
                                      <w14:schemeClr w14:val="accent2"/>
                                    </w14:solidFill>
                                  </w14:textFill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ED7D31" w:themeColor="accent2"/>
                                  <w14:textFill>
                                    <w14:solidFill>
                                      <w14:schemeClr w14:val="accent2"/>
                                    </w14:solidFill>
                                  </w14:textFill>
                                </w:rPr>
                                <w:t>12</w:t>
                              </w:r>
                              <w:r>
                                <w:rPr>
                                  <w:color w:val="ED7D31" w:themeColor="accent2"/>
                                  <w14:textFill>
                                    <w14:solidFill>
                                      <w14:schemeClr w14:val="accent2"/>
                                    </w14:solidFill>
                                  </w14:textFill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Pravokutnik 6" o:spid="_x0000_s1026" o:spt="1" style="position:absolute;left:0pt;flip:x;margin-left:537.6pt;margin-top:809.9pt;height:15.1pt;width:44.55pt;mso-position-horizontal-relative:page;mso-position-vertical-relative:page;rotation:11796480f;z-index:251660288;mso-width-relative:page;mso-height-relative:page;" filled="f" stroked="f" coordsize="21600,21600" o:gfxdata="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JJZwA0wAAAAMBAAAPAAAAAAAAAAEAIAAA&#10;ACIAAABkcnMvZG93bnJldi54bWxQSwECFAAUAAAACACHTuJApfSTmBECAAAdBAAADgAAAAAAAAAB&#10;ACAAAAAiAQAAZHJzL2Uyb0RvYy54bWxQSwUGAAAAAAYABgBZAQAApQUAAAAA&#10;">
                  <v:fill on="f" focussize="0,0"/>
                  <v:stroke on="f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pBdr>
                            <w:top w:val="single" w:color="7E7E7E" w:themeColor="background1" w:themeShade="7F" w:sz="4" w:space="1"/>
                          </w:pBdr>
                          <w:jc w:val="center"/>
                          <w:rPr>
                            <w:color w:val="ED7D31" w:themeColor="accent2"/>
                            <w14:textFill>
                              <w14:solidFill>
                                <w14:schemeClr w14:val="accent2"/>
                              </w14:solidFill>
                            </w14:textFill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ED7D31" w:themeColor="accent2"/>
                            <w14:textFill>
                              <w14:solidFill>
                                <w14:schemeClr w14:val="accent2"/>
                              </w14:solidFill>
                            </w14:textFill>
                          </w:rPr>
                          <w:t>12</w:t>
                        </w:r>
                        <w:r>
                          <w:rPr>
                            <w:color w:val="ED7D31" w:themeColor="accent2"/>
                            <w14:textFill>
                              <w14:solidFill>
                                <w14:schemeClr w14:val="accent2"/>
                              </w14:solidFill>
                            </w14:textFill>
                          </w:rPr>
                          <w:fldChar w:fldCharType="end"/>
                        </w:r>
                      </w:p>
                    </w:txbxContent>
                  </v:textbox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BB0A99"/>
    <w:multiLevelType w:val="multilevel"/>
    <w:tmpl w:val="52BB0A99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57BEB"/>
    <w:multiLevelType w:val="multilevel"/>
    <w:tmpl w:val="52D57BEB"/>
    <w:lvl w:ilvl="0" w:tentative="0">
      <w:start w:val="0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hint="default" w:ascii="Arial" w:hAnsi="Arial" w:eastAsia="Times New Roman" w:cs="Aria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2">
    <w:nsid w:val="6F2811ED"/>
    <w:multiLevelType w:val="multilevel"/>
    <w:tmpl w:val="6F2811ED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4A2"/>
    <w:rsid w:val="000129FE"/>
    <w:rsid w:val="0004116E"/>
    <w:rsid w:val="000445AD"/>
    <w:rsid w:val="000560E5"/>
    <w:rsid w:val="00076ACB"/>
    <w:rsid w:val="000C07C3"/>
    <w:rsid w:val="001108CB"/>
    <w:rsid w:val="001233AA"/>
    <w:rsid w:val="00123878"/>
    <w:rsid w:val="00131A5A"/>
    <w:rsid w:val="001D5BC1"/>
    <w:rsid w:val="001F27E6"/>
    <w:rsid w:val="00222C23"/>
    <w:rsid w:val="002565E0"/>
    <w:rsid w:val="0026021A"/>
    <w:rsid w:val="002653A5"/>
    <w:rsid w:val="002711CD"/>
    <w:rsid w:val="00280B3C"/>
    <w:rsid w:val="002857F6"/>
    <w:rsid w:val="00297C08"/>
    <w:rsid w:val="00306522"/>
    <w:rsid w:val="00312DB0"/>
    <w:rsid w:val="003466F4"/>
    <w:rsid w:val="00354D5F"/>
    <w:rsid w:val="00360D7E"/>
    <w:rsid w:val="00392C2E"/>
    <w:rsid w:val="003C281C"/>
    <w:rsid w:val="00404419"/>
    <w:rsid w:val="004261FC"/>
    <w:rsid w:val="00427070"/>
    <w:rsid w:val="00463892"/>
    <w:rsid w:val="00477B30"/>
    <w:rsid w:val="00477B75"/>
    <w:rsid w:val="004F4322"/>
    <w:rsid w:val="00502DAF"/>
    <w:rsid w:val="0053298B"/>
    <w:rsid w:val="005F4D95"/>
    <w:rsid w:val="00601838"/>
    <w:rsid w:val="00641EF4"/>
    <w:rsid w:val="006510EF"/>
    <w:rsid w:val="00665A37"/>
    <w:rsid w:val="0069427E"/>
    <w:rsid w:val="006B52AB"/>
    <w:rsid w:val="006C1D69"/>
    <w:rsid w:val="006D689D"/>
    <w:rsid w:val="007218A4"/>
    <w:rsid w:val="007336BC"/>
    <w:rsid w:val="007A336C"/>
    <w:rsid w:val="007E07C0"/>
    <w:rsid w:val="007F1F61"/>
    <w:rsid w:val="007F2F10"/>
    <w:rsid w:val="00801D63"/>
    <w:rsid w:val="00847DD7"/>
    <w:rsid w:val="008856C5"/>
    <w:rsid w:val="0089727B"/>
    <w:rsid w:val="008B1543"/>
    <w:rsid w:val="008F38F8"/>
    <w:rsid w:val="008F40EE"/>
    <w:rsid w:val="00904D43"/>
    <w:rsid w:val="0090754E"/>
    <w:rsid w:val="00941C56"/>
    <w:rsid w:val="00951914"/>
    <w:rsid w:val="009535D4"/>
    <w:rsid w:val="00954A9A"/>
    <w:rsid w:val="00964D12"/>
    <w:rsid w:val="009A50D4"/>
    <w:rsid w:val="009D0156"/>
    <w:rsid w:val="009D3027"/>
    <w:rsid w:val="00A32A70"/>
    <w:rsid w:val="00A41B53"/>
    <w:rsid w:val="00A46C04"/>
    <w:rsid w:val="00A86402"/>
    <w:rsid w:val="00AA41A7"/>
    <w:rsid w:val="00AA72F4"/>
    <w:rsid w:val="00AE381E"/>
    <w:rsid w:val="00B156DD"/>
    <w:rsid w:val="00B32DD1"/>
    <w:rsid w:val="00B879D4"/>
    <w:rsid w:val="00BD0443"/>
    <w:rsid w:val="00BE54A2"/>
    <w:rsid w:val="00CE7C80"/>
    <w:rsid w:val="00D33E77"/>
    <w:rsid w:val="00D42230"/>
    <w:rsid w:val="00D45436"/>
    <w:rsid w:val="00DC2D23"/>
    <w:rsid w:val="00DD5000"/>
    <w:rsid w:val="00E158B5"/>
    <w:rsid w:val="00E340F2"/>
    <w:rsid w:val="00E417FE"/>
    <w:rsid w:val="00E5213D"/>
    <w:rsid w:val="00E56CAB"/>
    <w:rsid w:val="00E625A7"/>
    <w:rsid w:val="00E65887"/>
    <w:rsid w:val="00E9745B"/>
    <w:rsid w:val="00EB7905"/>
    <w:rsid w:val="00EE37EB"/>
    <w:rsid w:val="00F54C0D"/>
    <w:rsid w:val="00F75731"/>
    <w:rsid w:val="00FC00F3"/>
    <w:rsid w:val="0D055901"/>
    <w:rsid w:val="1B1B2215"/>
    <w:rsid w:val="22E87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hr-HR" w:eastAsia="en-US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5B6" w:themeColor="accent1" w:themeShade="BF"/>
      <w:sz w:val="26"/>
      <w:szCs w:val="26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22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">
    <w:name w:val="Body Text"/>
    <w:basedOn w:val="1"/>
    <w:link w:val="17"/>
    <w:qFormat/>
    <w:uiPriority w:val="0"/>
    <w:pPr>
      <w:spacing w:after="0" w:line="240" w:lineRule="auto"/>
      <w:jc w:val="both"/>
    </w:pPr>
    <w:rPr>
      <w:rFonts w:ascii="Arial" w:hAnsi="Arial" w:eastAsia="Times New Roman" w:cs="Arial"/>
      <w:sz w:val="24"/>
      <w:szCs w:val="24"/>
      <w:lang w:eastAsia="hr-HR"/>
    </w:rPr>
  </w:style>
  <w:style w:type="paragraph" w:styleId="8">
    <w:name w:val="footer"/>
    <w:basedOn w:val="1"/>
    <w:link w:val="20"/>
    <w:unhideWhenUsed/>
    <w:qFormat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9">
    <w:name w:val="header"/>
    <w:basedOn w:val="1"/>
    <w:link w:val="19"/>
    <w:unhideWhenUsed/>
    <w:qFormat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styleId="10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1">
    <w:name w:val="Strong"/>
    <w:basedOn w:val="4"/>
    <w:qFormat/>
    <w:uiPriority w:val="22"/>
    <w:rPr>
      <w:b/>
      <w:bCs/>
    </w:rPr>
  </w:style>
  <w:style w:type="table" w:styleId="12">
    <w:name w:val="Table Grid"/>
    <w:basedOn w:val="5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hr-HR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3">
    <w:name w:val="Intense Quote"/>
    <w:basedOn w:val="1"/>
    <w:next w:val="1"/>
    <w:link w:val="14"/>
    <w:qFormat/>
    <w:uiPriority w:val="30"/>
    <w:pPr>
      <w:pBdr>
        <w:top w:val="single" w:color="5B9BD5" w:themeColor="accent1" w:sz="4" w:space="10"/>
        <w:bottom w:val="single" w:color="5B9BD5" w:themeColor="accent1" w:sz="4" w:space="10"/>
      </w:pBdr>
      <w:spacing w:before="360" w:after="360"/>
      <w:ind w:left="864" w:right="864"/>
      <w:jc w:val="center"/>
    </w:pPr>
    <w:rPr>
      <w:i/>
      <w:iCs/>
      <w:color w:val="5B9BD5" w:themeColor="accent1"/>
      <w14:textFill>
        <w14:solidFill>
          <w14:schemeClr w14:val="accent1"/>
        </w14:solidFill>
      </w14:textFill>
    </w:rPr>
  </w:style>
  <w:style w:type="character" w:customStyle="1" w:styleId="14">
    <w:name w:val="Naglašen citat Char"/>
    <w:basedOn w:val="4"/>
    <w:link w:val="13"/>
    <w:qFormat/>
    <w:uiPriority w:val="30"/>
    <w:rPr>
      <w:i/>
      <w:iCs/>
      <w:color w:val="5B9BD5" w:themeColor="accent1"/>
      <w14:textFill>
        <w14:solidFill>
          <w14:schemeClr w14:val="accent1"/>
        </w14:solidFill>
      </w14:textFill>
    </w:rPr>
  </w:style>
  <w:style w:type="character" w:customStyle="1" w:styleId="15">
    <w:name w:val="Naslov 1 Char"/>
    <w:basedOn w:val="4"/>
    <w:link w:val="2"/>
    <w:qFormat/>
    <w:uiPriority w:val="9"/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character" w:customStyle="1" w:styleId="16">
    <w:name w:val="Naslov 2 Char"/>
    <w:basedOn w:val="4"/>
    <w:link w:val="3"/>
    <w:qFormat/>
    <w:uiPriority w:val="9"/>
    <w:rPr>
      <w:rFonts w:asciiTheme="majorHAnsi" w:hAnsiTheme="majorHAnsi" w:eastAsiaTheme="majorEastAsia" w:cstheme="majorBidi"/>
      <w:color w:val="2E75B6" w:themeColor="accent1" w:themeShade="BF"/>
      <w:sz w:val="26"/>
      <w:szCs w:val="26"/>
    </w:rPr>
  </w:style>
  <w:style w:type="character" w:customStyle="1" w:styleId="17">
    <w:name w:val="Tijelo teksta Char"/>
    <w:basedOn w:val="4"/>
    <w:link w:val="7"/>
    <w:qFormat/>
    <w:uiPriority w:val="0"/>
    <w:rPr>
      <w:rFonts w:ascii="Arial" w:hAnsi="Arial" w:eastAsia="Times New Roman" w:cs="Arial"/>
      <w:sz w:val="24"/>
      <w:szCs w:val="24"/>
      <w:lang w:eastAsia="hr-HR"/>
    </w:rPr>
  </w:style>
  <w:style w:type="paragraph" w:styleId="18">
    <w:name w:val="List Paragraph"/>
    <w:basedOn w:val="1"/>
    <w:qFormat/>
    <w:uiPriority w:val="34"/>
    <w:pPr>
      <w:ind w:left="720"/>
      <w:contextualSpacing/>
    </w:pPr>
  </w:style>
  <w:style w:type="character" w:customStyle="1" w:styleId="19">
    <w:name w:val="Zaglavlje Char"/>
    <w:basedOn w:val="4"/>
    <w:link w:val="9"/>
    <w:qFormat/>
    <w:uiPriority w:val="99"/>
  </w:style>
  <w:style w:type="character" w:customStyle="1" w:styleId="20">
    <w:name w:val="Podnožje Char"/>
    <w:basedOn w:val="4"/>
    <w:link w:val="8"/>
    <w:qFormat/>
    <w:uiPriority w:val="99"/>
  </w:style>
  <w:style w:type="table" w:customStyle="1" w:styleId="21">
    <w:name w:val="Rešetka tablice1"/>
    <w:basedOn w:val="5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hr-HR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2">
    <w:name w:val="Tekst balončića Char"/>
    <w:basedOn w:val="4"/>
    <w:link w:val="6"/>
    <w:semiHidden/>
    <w:qFormat/>
    <w:uiPriority w:val="99"/>
    <w:rPr>
      <w:rFonts w:ascii="Tahoma" w:hAnsi="Tahoma" w:cs="Tahoma"/>
      <w:sz w:val="16"/>
      <w:szCs w:val="16"/>
    </w:rPr>
  </w:style>
  <w:style w:type="paragraph" w:styleId="23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hr-HR" w:eastAsia="en-US" w:bidi="ar-SA"/>
    </w:rPr>
  </w:style>
  <w:style w:type="paragraph" w:customStyle="1" w:styleId="24">
    <w:name w:val="WW-Default"/>
    <w:basedOn w:val="1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lang w:val="en-US"/>
    </w:rPr>
  </w:style>
  <w:style w:type="paragraph" w:customStyle="1" w:styleId="25">
    <w:name w:val="EmptyCellLayoutStyle"/>
    <w:qFormat/>
    <w:uiPriority w:val="0"/>
    <w:rPr>
      <w:rFonts w:ascii="Times New Roman" w:hAnsi="Times New Roman" w:eastAsia="Times New Roman" w:cs="Times New Roman"/>
      <w:sz w:val="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chart" Target="charts/chart2.xml"/><Relationship Id="rId20" Type="http://schemas.openxmlformats.org/officeDocument/2006/relationships/chart" Target="charts/chart1.xml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microsoft.com/office/2007/relationships/hdphoto" Target="media/image5.wdp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package" Target="../embeddings/Workbook2.xlsx"/></Relationships>
</file>

<file path=word/charts/_rels/chart2.xml.rels><?xml version="1.0" encoding="UTF-8" standalone="yes"?>
<Relationships xmlns="http://schemas.openxmlformats.org/package/2006/relationships"><Relationship Id="rId4" Type="http://schemas.microsoft.com/office/2011/relationships/chartColorStyle" Target="colors1.xml"/><Relationship Id="rId3" Type="http://schemas.microsoft.com/office/2011/relationships/chartStyle" Target="style1.xml"/><Relationship Id="rId2" Type="http://schemas.openxmlformats.org/officeDocument/2006/relationships/themeOverride" Target="../theme/themeOverride1.xml"/><Relationship Id="rId1" Type="http://schemas.openxmlformats.org/officeDocument/2006/relationships/package" Target="../embeddings/Workbook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600" b="1" i="0" u="none" strike="noStrike" kern="1200" baseline="0">
              <a:ln>
                <a:solidFill>
                  <a:schemeClr val="accent1"/>
                </a:solidFill>
              </a:ln>
              <a:solidFill>
                <a:schemeClr val="tx2"/>
              </a:solidFill>
              <a:latin typeface="+mn-lt"/>
              <a:ea typeface="+mn-ea"/>
              <a:cs typeface="+mn-cs"/>
            </a:defRPr>
          </a:pPr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Dob korisnika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List1!$A$2:$A$5</c:f>
              <c:strCache>
                <c:ptCount val="4"/>
                <c:pt idx="0">
                  <c:v>Djeca do 14 godina</c:v>
                </c:pt>
                <c:pt idx="1">
                  <c:v>Odrasli</c:v>
                </c:pt>
                <c:pt idx="2">
                  <c:v>Umirovljenici</c:v>
                </c:pt>
                <c:pt idx="3">
                  <c:v>Dob 15-17 godina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104</c:v>
                </c:pt>
                <c:pt idx="1">
                  <c:v>75</c:v>
                </c:pt>
                <c:pt idx="2">
                  <c:v>11</c:v>
                </c:pt>
                <c:pt idx="3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7398840"/>
        <c:axId val="7399624"/>
      </c:barChart>
      <c:catAx>
        <c:axId val="7398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</a:p>
        </c:txPr>
        <c:crossAx val="7399624"/>
        <c:crosses val="autoZero"/>
        <c:auto val="1"/>
        <c:lblAlgn val="ctr"/>
        <c:lblOffset val="100"/>
        <c:noMultiLvlLbl val="0"/>
      </c:catAx>
      <c:valAx>
        <c:axId val="7399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</a:p>
        </c:txPr>
        <c:crossAx val="7398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en-US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2000" b="0" i="0" u="none" strike="noStrike" kern="1200" spc="0" baseline="0">
                <a:ln>
                  <a:solidFill>
                    <a:schemeClr val="accent1">
                      <a:lumMod val="75000"/>
                    </a:schemeClr>
                  </a:solidFill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Arabic Typesetting" panose="03020402040406030203" pitchFamily="66" charset="-78"/>
                <a:ea typeface="+mn-ea"/>
                <a:cs typeface="Arabic Typesetting" panose="03020402040406030203" pitchFamily="66" charset="-78"/>
              </a:defRPr>
            </a:pPr>
            <a:r>
              <a:rPr lang="en-US" sz="2000">
                <a:ln>
                  <a:solidFill>
                    <a:schemeClr val="accent1">
                      <a:lumMod val="75000"/>
                    </a:schemeClr>
                  </a:solidFill>
                </a:ln>
                <a:latin typeface="Arabic Typesetting" panose="03020402040406030203" pitchFamily="66" charset="-78"/>
                <a:cs typeface="Arabic Typesetting" panose="03020402040406030203" pitchFamily="66" charset="-78"/>
              </a:rPr>
              <a:t>Spol korisnika</a:t>
            </a:r>
            <a:endParaRPr lang="en-US" sz="2000">
              <a:ln>
                <a:solidFill>
                  <a:schemeClr val="accent1">
                    <a:lumMod val="75000"/>
                  </a:schemeClr>
                </a:solidFill>
              </a:ln>
              <a:latin typeface="Arabic Typesetting" panose="03020402040406030203" pitchFamily="66" charset="-78"/>
              <a:cs typeface="Arabic Typesetting" panose="03020402040406030203" pitchFamily="66" charset="-78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Spol korisnika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List1!$A$2:$A$3</c:f>
              <c:strCache>
                <c:ptCount val="2"/>
                <c:pt idx="0">
                  <c:v>Muški spol</c:v>
                </c:pt>
                <c:pt idx="1">
                  <c:v>Ženski spol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70</c:v>
                </c:pt>
                <c:pt idx="1">
                  <c:v>137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99417232"/>
        <c:axId val="300872048"/>
      </c:barChart>
      <c:catAx>
        <c:axId val="299417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300872048"/>
        <c:crosses val="autoZero"/>
        <c:auto val="1"/>
        <c:lblAlgn val="ctr"/>
        <c:lblOffset val="100"/>
        <c:noMultiLvlLbl val="0"/>
      </c:catAx>
      <c:valAx>
        <c:axId val="300872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299417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word/theme/themeOverride1.xml><?xml version="1.0" encoding="utf-8"?>
<a:themeOverride xmlns:a="http://schemas.openxmlformats.org/drawingml/2006/main">
  <a:clrScheme name="Office 2007-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66BEE7-ECA6-4605-ADDC-DE3C0FEFF9A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2690</Words>
  <Characters>15335</Characters>
  <Lines>127</Lines>
  <Paragraphs>35</Paragraphs>
  <TotalTime>0</TotalTime>
  <ScaleCrop>false</ScaleCrop>
  <LinksUpToDate>false</LinksUpToDate>
  <CharactersWithSpaces>17990</CharactersWithSpaces>
  <Application>WPS Office_11.2.0.10463_F1E327BC-269C-435d-A152-05C5408002CA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2022-02-01T08:08:00Z</dcterms:created>
  <dc:creator>Knjžnica Babina Greda</dc:creator>
  <cp:lastModifiedBy>HT-ICT</cp:lastModifiedBy>
  <cp:lastPrinted>2022-03-01T08:24:00Z</cp:lastPrinted>
  <dcterms:modified xsi:type="dcterms:W3CDTF">2022-03-03T07:33:51Z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1033-11.2.0.10463</vt:lpwstr>
  </property>
  <property fmtid="{D5CDD505-2E9C-101B-9397-08002B2CF9AE}" pid="3" name="ICV">
    <vt:lpwstr>7358D43549F243D598A51F1555C2C0C1</vt:lpwstr>
  </property>
</Properties>
</file>