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  <w:r>
              <w:drawing>
                <wp:inline distT="0" distB="0" distL="0" distR="0">
                  <wp:extent cx="4476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3402" w:type="dxa"/>
            <w:shd w:val="clear" w:color="auto" w:fill="auto"/>
          </w:tcPr>
          <w:p>
            <w:pPr>
              <w:snapToGrid w:val="0"/>
              <w:ind w:right="51"/>
              <w:jc w:val="center"/>
              <w:rPr>
                <w:b/>
              </w:rPr>
            </w:pPr>
          </w:p>
          <w:p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VUKOVARSKO – SRIJEMSKA ŽUPANIJA</w:t>
            </w:r>
          </w:p>
          <w:p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OPĆINA BABINA GREDA</w:t>
            </w:r>
          </w:p>
          <w:p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OPĆINSKO  VIJEĆE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hint="default"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</w:rPr>
        <w:t>KLASA: 363-02/2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>-01/</w:t>
      </w:r>
      <w:r>
        <w:rPr>
          <w:rFonts w:hint="default" w:ascii="Times New Roman" w:hAnsi="Times New Roman"/>
          <w:sz w:val="24"/>
          <w:lang w:val="hr-HR"/>
        </w:rPr>
        <w:t>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2212/02-01/2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 xml:space="preserve">-01-1      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>
        <w:rPr>
          <w:rFonts w:hint="default" w:ascii="Times New Roman" w:hAnsi="Times New Roman"/>
          <w:sz w:val="24"/>
          <w:lang w:val="hr-HR"/>
        </w:rPr>
        <w:t>28</w:t>
      </w:r>
      <w:r>
        <w:rPr>
          <w:rFonts w:ascii="Times New Roman" w:hAnsi="Times New Roman"/>
          <w:sz w:val="24"/>
        </w:rPr>
        <w:t xml:space="preserve">. </w:t>
      </w:r>
      <w:r>
        <w:rPr>
          <w:rFonts w:hint="default" w:ascii="Times New Roman" w:hAnsi="Times New Roman"/>
          <w:sz w:val="24"/>
          <w:lang w:val="hr-HR"/>
        </w:rPr>
        <w:t>studenog</w:t>
      </w:r>
      <w:r>
        <w:rPr>
          <w:rFonts w:ascii="Times New Roman" w:hAnsi="Times New Roman"/>
          <w:sz w:val="24"/>
        </w:rPr>
        <w:t xml:space="preserve"> 202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 xml:space="preserve">. godine      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72. stavak 1. Zakona o komunalnom gospodarstvu ("Narodne novine" br. 68/18, 110/18 i 32/20), članka 18. Statuta Općine Babina Greda (“Sl. Vjesnik Vukovarsko – srijemske županije“ br. 11/09, 04/13, 03/14, 01/18, 13/18, 27/18 - pročišćeni tekst, 21A/19 i 03/20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i 04/21</w:t>
      </w:r>
      <w:r>
        <w:rPr>
          <w:rFonts w:ascii="Times New Roman" w:hAnsi="Times New Roman"/>
          <w:sz w:val="24"/>
          <w:szCs w:val="24"/>
        </w:rPr>
        <w:t>), članka 45. Poslovnika o radu Općinskog vijeća (“Sl. Vjesnik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Vukovarsko - srijemske županije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br.</w:t>
      </w:r>
      <w:r>
        <w:rPr>
          <w:rFonts w:ascii="Times New Roman" w:hAnsi="Times New Roman"/>
          <w:sz w:val="24"/>
          <w:szCs w:val="24"/>
        </w:rPr>
        <w:t xml:space="preserve"> 16/09, 01/18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i 04/21</w:t>
      </w:r>
      <w:r>
        <w:rPr>
          <w:rFonts w:ascii="Times New Roman" w:hAnsi="Times New Roman"/>
          <w:sz w:val="24"/>
          <w:szCs w:val="24"/>
        </w:rPr>
        <w:t xml:space="preserve">) Općinsko vijeće  Općine  Babina  Greda  na  </w:t>
      </w:r>
      <w:r>
        <w:rPr>
          <w:rFonts w:hint="default" w:ascii="Times New Roman" w:hAnsi="Times New Roman"/>
          <w:sz w:val="24"/>
          <w:szCs w:val="24"/>
          <w:lang w:val="hr-HR"/>
        </w:rPr>
        <w:t>06</w:t>
      </w:r>
      <w:r>
        <w:rPr>
          <w:rFonts w:ascii="Times New Roman" w:hAnsi="Times New Roman"/>
          <w:sz w:val="24"/>
          <w:szCs w:val="24"/>
        </w:rPr>
        <w:t xml:space="preserve">.  sjednici održanoj  dana </w:t>
      </w:r>
      <w:r>
        <w:rPr>
          <w:rFonts w:hint="default" w:ascii="Times New Roman" w:hAnsi="Times New Roman"/>
          <w:sz w:val="24"/>
          <w:szCs w:val="24"/>
          <w:lang w:val="hr-HR"/>
        </w:rPr>
        <w:t>28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hint="default"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</w:rPr>
        <w:t xml:space="preserve">  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  godine  d o n o s i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lang w:val="hr-HR"/>
        </w:rPr>
      </w:pPr>
      <w:r>
        <w:rPr>
          <w:rFonts w:hint="default" w:ascii="Times New Roman" w:hAnsi="Times New Roman"/>
          <w:b/>
          <w:bCs/>
          <w:sz w:val="24"/>
          <w:lang w:val="hr-HR"/>
        </w:rPr>
        <w:t xml:space="preserve">ODLUKA O IZMJENAMA I DOPUNAMA 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hint="default" w:ascii="Times New Roman" w:hAnsi="Times New Roman"/>
          <w:b/>
          <w:bCs/>
          <w:sz w:val="24"/>
          <w:lang w:val="hr-HR"/>
        </w:rPr>
        <w:t xml:space="preserve">Programa </w:t>
      </w:r>
      <w:r>
        <w:rPr>
          <w:rFonts w:ascii="Times New Roman" w:hAnsi="Times New Roman"/>
          <w:b/>
          <w:bCs/>
          <w:sz w:val="24"/>
        </w:rPr>
        <w:t>održavanja komunalne infrastrukture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za 2021. godinu</w:t>
      </w: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Članak </w:t>
      </w:r>
      <w:r>
        <w:rPr>
          <w:rFonts w:hint="default" w:ascii="Times New Roman" w:hAnsi="Times New Roman" w:cs="Times New Roman"/>
          <w:sz w:val="24"/>
          <w:szCs w:val="24"/>
          <w:lang w:val="en-US" w:eastAsia="hr-HR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. Program</w:t>
      </w:r>
      <w:r>
        <w:rPr>
          <w:rFonts w:hint="default" w:ascii="Times New Roman" w:hAnsi="Times New Roman" w:cs="Times New Roman"/>
          <w:sz w:val="24"/>
          <w:szCs w:val="24"/>
          <w:lang w:val="en-US" w:eastAsia="hr-HR"/>
        </w:rPr>
        <w:t xml:space="preserve"> održavanja komunalne infrastrukture za 2021. godinu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(„Sl. Vjesnik</w:t>
      </w:r>
      <w:r>
        <w:rPr>
          <w:rFonts w:hint="default" w:ascii="Times New Roman" w:hAnsi="Times New Roman" w:cs="Times New Roman"/>
          <w:sz w:val="24"/>
          <w:szCs w:val="24"/>
          <w:lang w:val="en-US" w:eastAsia="hr-HR"/>
        </w:rPr>
        <w:t xml:space="preserve"> Vukovarsko - srijemske županije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“</w:t>
      </w:r>
      <w:r>
        <w:rPr>
          <w:rFonts w:hint="default" w:ascii="Times New Roman" w:hAnsi="Times New Roman" w:cs="Times New Roman"/>
          <w:sz w:val="24"/>
          <w:szCs w:val="24"/>
          <w:lang w:val="en-US" w:eastAsia="hr-HR"/>
        </w:rPr>
        <w:t xml:space="preserve"> br.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24/20), mijenja se i glasi: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točki I. i Programa održavanje komunalne infrastrukture obuhvaća slijedeće komunalne djelatnosti:</w:t>
      </w:r>
    </w:p>
    <w:p>
      <w:pPr>
        <w:rPr>
          <w:rFonts w:ascii="Times New Roman" w:hAnsi="Times New Roman"/>
          <w:sz w:val="24"/>
        </w:rPr>
      </w:pPr>
    </w:p>
    <w:tbl>
      <w:tblPr>
        <w:tblStyle w:val="3"/>
        <w:tblW w:w="1021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61"/>
        <w:gridCol w:w="1172"/>
        <w:gridCol w:w="4108"/>
        <w:gridCol w:w="175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25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RED.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930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KONTO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POZICIJA</w:t>
            </w:r>
          </w:p>
        </w:tc>
        <w:tc>
          <w:tcPr>
            <w:tcW w:w="4920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 xml:space="preserve">NAZIV – 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OPSEG I OPIS POSLOVA</w:t>
            </w:r>
          </w:p>
        </w:tc>
        <w:tc>
          <w:tcPr>
            <w:tcW w:w="1232" w:type="dxa"/>
            <w:shd w:val="clear" w:color="auto" w:fill="auto"/>
          </w:tcPr>
          <w:p>
            <w:pPr>
              <w:suppressAutoHyphens/>
              <w:jc w:val="center"/>
              <w:rPr>
                <w:rFonts w:hint="default" w:ascii="Times New Roman" w:hAnsi="Times New Roman" w:eastAsia="Calibri"/>
                <w:b/>
                <w:sz w:val="20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b/>
                <w:sz w:val="20"/>
                <w:szCs w:val="22"/>
                <w:lang w:val="hr-HR" w:eastAsia="ar-SA"/>
              </w:rPr>
              <w:t xml:space="preserve">IZVOR </w:t>
            </w: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b/>
                <w:sz w:val="20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b/>
                <w:sz w:val="20"/>
                <w:szCs w:val="22"/>
                <w:lang w:val="hr-HR" w:eastAsia="ar-SA"/>
              </w:rPr>
              <w:t>FINANCIRANJA</w:t>
            </w:r>
          </w:p>
        </w:tc>
        <w:tc>
          <w:tcPr>
            <w:tcW w:w="1276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PLAN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2021. g.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IZNOS U KUNAMA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725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  <w:t>1.</w:t>
            </w:r>
          </w:p>
        </w:tc>
        <w:tc>
          <w:tcPr>
            <w:tcW w:w="930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32244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32234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32322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32329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R0046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R0054</w:t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br w:type="textWrapping"/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R0055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R0056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</w:tc>
        <w:tc>
          <w:tcPr>
            <w:tcW w:w="4920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Redovito čišćenje javnih površina (trgova, otvorenih odvodnih kanala, igrališta), održavanje sajmišta i održavanje groblja: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ručno čišćenje javne prometne površine kod zgrade općinske uprave - svakodnevno,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redovito čišćenje zelenih javnih površina,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- košenje trave na javnim površinama ispred zgrade općinske uprave, oko spomenika, vodocrpilišta, parkirališta </w:t>
            </w:r>
            <w:r>
              <w:rPr>
                <w:rFonts w:ascii="Times New Roman" w:hAnsi="Times New Roman"/>
                <w:sz w:val="24"/>
                <w:u w:val="single"/>
              </w:rPr>
              <w:t>i sajmišta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-održavanje sajmišta,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-održavanje kanalske mreže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-hortikulturno uređenje javnih površina.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košenje groblja 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košenje i krčenje kanala oko groblja,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sanacija divlje deponije na groblju,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održavanje kapelice i ograde na groblju,</w:t>
            </w:r>
          </w:p>
          <w:p>
            <w:pP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/>
                <w:sz w:val="24"/>
              </w:rPr>
              <w:t>- uređivanje i popravak staza.</w:t>
            </w:r>
          </w:p>
        </w:tc>
        <w:tc>
          <w:tcPr>
            <w:tcW w:w="1232" w:type="dxa"/>
            <w:shd w:val="clear" w:color="auto" w:fill="auto"/>
          </w:tcPr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4.1. Pomoći</w:t>
            </w: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6.1. Prihodi od nefinancijske imovine</w:t>
            </w:r>
          </w:p>
        </w:tc>
        <w:tc>
          <w:tcPr>
            <w:tcW w:w="1276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2</w:t>
            </w: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37</w:t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.000,00 kuna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725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  <w:t>2.</w:t>
            </w:r>
          </w:p>
        </w:tc>
        <w:tc>
          <w:tcPr>
            <w:tcW w:w="930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32329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R0053</w:t>
            </w:r>
          </w:p>
        </w:tc>
        <w:tc>
          <w:tcPr>
            <w:tcW w:w="4920" w:type="dxa"/>
            <w:shd w:val="clear" w:color="auto" w:fill="auto"/>
          </w:tcPr>
          <w:p>
            <w:pPr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Održavanje nerazvrstanih cesta, nogostupa, parkirališta i poljskih puteva: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saniranje svih nerazvrstanih cesta u granicama građevinskog područja, a koji posao obuhvaća nabavku i ugradnju kamene sitneži prema potrebi, zimsko održavanje nerazvrstanih cesta, te održavanje poljskih putova.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</w:tc>
        <w:tc>
          <w:tcPr>
            <w:tcW w:w="1232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  <w:p>
            <w:pPr>
              <w:numPr>
                <w:ilvl w:val="1"/>
                <w:numId w:val="1"/>
              </w:num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Opći prihodi i primici</w:t>
            </w:r>
          </w:p>
        </w:tc>
        <w:tc>
          <w:tcPr>
            <w:tcW w:w="1276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1.5</w:t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00.000,00 kuna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25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  <w:t>3.</w:t>
            </w:r>
          </w:p>
        </w:tc>
        <w:tc>
          <w:tcPr>
            <w:tcW w:w="930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32329</w:t>
            </w:r>
          </w:p>
        </w:tc>
        <w:tc>
          <w:tcPr>
            <w:tcW w:w="1134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R0059</w:t>
            </w:r>
          </w:p>
        </w:tc>
        <w:tc>
          <w:tcPr>
            <w:tcW w:w="4920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Održavanje javne rasvjete: 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održavanje javne rasvjete (servis i oprema).</w:t>
            </w:r>
          </w:p>
          <w:p>
            <w:pPr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4.1. Pomoći</w:t>
            </w:r>
          </w:p>
        </w:tc>
        <w:tc>
          <w:tcPr>
            <w:tcW w:w="1276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1</w:t>
            </w: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 xml:space="preserve">0.000,00 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kuna</w:t>
            </w:r>
          </w:p>
        </w:tc>
      </w:tr>
    </w:tbl>
    <w:p>
      <w:pPr>
        <w:suppressAutoHyphens/>
        <w:rPr>
          <w:rFonts w:ascii="Times New Roman" w:hAnsi="Times New Roman"/>
          <w:sz w:val="20"/>
          <w:szCs w:val="20"/>
          <w:lang w:val="en-AU" w:eastAsia="ar-SA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Ovaj Program stupa na snagu osmog (8) dana od dana objave u "Službenom vjesniku" Vukovarsko-srijemske županije.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Općinskog vijeća: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rPr>
          <w:rFonts w:hint="default"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lang w:val="hr-HR"/>
        </w:rPr>
        <w:t xml:space="preserve"> Tomo Đaković</w:t>
      </w:r>
    </w:p>
    <w:p/>
    <w:p>
      <w:pPr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3CE86"/>
    <w:multiLevelType w:val="multilevel"/>
    <w:tmpl w:val="BE83CE86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9F"/>
    <w:rsid w:val="00013EBB"/>
    <w:rsid w:val="001D64FE"/>
    <w:rsid w:val="0020402D"/>
    <w:rsid w:val="002E0519"/>
    <w:rsid w:val="003D3833"/>
    <w:rsid w:val="00710CC1"/>
    <w:rsid w:val="007512CA"/>
    <w:rsid w:val="00A7429F"/>
    <w:rsid w:val="00C66691"/>
    <w:rsid w:val="00CF5A2C"/>
    <w:rsid w:val="00E97881"/>
    <w:rsid w:val="5685782C"/>
    <w:rsid w:val="6DC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2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 Spacing Char"/>
    <w:link w:val="5"/>
    <w:locked/>
    <w:uiPriority w:val="1"/>
    <w:rPr>
      <w:rFonts w:ascii="Calibri" w:hAnsi="Calibri" w:eastAsia="Times New Roman" w:cs="Times New Roman"/>
      <w:lang w:eastAsia="hr-HR"/>
    </w:rPr>
  </w:style>
  <w:style w:type="paragraph" w:styleId="5">
    <w:name w:val="No Spacing"/>
    <w:link w:val="4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524</Words>
  <Characters>2990</Characters>
  <Lines>24</Lines>
  <Paragraphs>7</Paragraphs>
  <TotalTime>89</TotalTime>
  <ScaleCrop>false</ScaleCrop>
  <LinksUpToDate>false</LinksUpToDate>
  <CharactersWithSpaces>3507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2020-12-08T18:35:00Z</dcterms:created>
  <dc:creator>SDP Babina Greda</dc:creator>
  <cp:lastModifiedBy>Općina Babina Greda</cp:lastModifiedBy>
  <dcterms:modified xsi:type="dcterms:W3CDTF">2021-11-29T20:34:26Z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3C3CFA36B1C1465DA3AECDCA3D59D0C0</vt:lpwstr>
  </property>
</Properties>
</file>