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shd w:val="clear" w:color="auto" w:fill="auto"/>
          </w:tcPr>
          <w:p>
            <w:pPr>
              <w:snapToGrid w:val="0"/>
              <w:jc w:val="center"/>
              <w:rPr>
                <w:b/>
                <w:lang w:val="hr-HR"/>
              </w:rPr>
            </w:pPr>
            <w:r>
              <w:rPr>
                <w:lang w:val="hr-HR" w:eastAsia="hr-HR"/>
              </w:rPr>
              <w:drawing>
                <wp:inline distT="0" distB="0" distL="0" distR="0">
                  <wp:extent cx="447675" cy="571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3402" w:type="dxa"/>
            <w:shd w:val="clear" w:color="auto" w:fill="auto"/>
          </w:tcPr>
          <w:p>
            <w:pPr>
              <w:snapToGrid w:val="0"/>
              <w:ind w:right="51"/>
              <w:jc w:val="center"/>
              <w:rPr>
                <w:b/>
                <w:lang w:val="hr-HR"/>
              </w:rPr>
            </w:pPr>
          </w:p>
          <w:p>
            <w:pPr>
              <w:ind w:right="51"/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REPUBLIKA HRVATSKA</w:t>
            </w:r>
          </w:p>
          <w:p>
            <w:pPr>
              <w:ind w:right="51"/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VUKOVARSKO – SRIJEMSKA ŽUPANIJA</w:t>
            </w:r>
          </w:p>
          <w:p>
            <w:pPr>
              <w:ind w:right="51"/>
              <w:jc w:val="center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OPĆINA BABINA GREDA</w:t>
            </w:r>
          </w:p>
          <w:p>
            <w:pPr>
              <w:ind w:right="51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lang w:val="hr-HR"/>
              </w:rPr>
              <w:t>OPĆINSKO  VIJEĆE</w:t>
            </w:r>
          </w:p>
        </w:tc>
      </w:tr>
    </w:tbl>
    <w:p>
      <w:pPr>
        <w:spacing w:line="240" w:lineRule="exact"/>
      </w:pPr>
    </w:p>
    <w:p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321-02/2</w:t>
      </w:r>
      <w:r>
        <w:rPr>
          <w:rFonts w:hint="default"/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-01/</w:t>
      </w:r>
      <w:r>
        <w:rPr>
          <w:rFonts w:hint="default"/>
          <w:sz w:val="24"/>
          <w:szCs w:val="24"/>
          <w:lang w:val="hr-HR"/>
        </w:rPr>
        <w:t>1</w:t>
      </w:r>
    </w:p>
    <w:p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2212/02-01/2</w:t>
      </w:r>
      <w:r>
        <w:rPr>
          <w:rFonts w:hint="default"/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-01-1</w:t>
      </w:r>
    </w:p>
    <w:p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Babina Greda  </w:t>
      </w:r>
      <w:r>
        <w:rPr>
          <w:rFonts w:hint="default"/>
          <w:sz w:val="24"/>
          <w:szCs w:val="24"/>
          <w:lang w:val="hr-HR"/>
        </w:rPr>
        <w:t>28</w:t>
      </w:r>
      <w:r>
        <w:rPr>
          <w:sz w:val="24"/>
          <w:szCs w:val="24"/>
          <w:lang w:val="hr-HR"/>
        </w:rPr>
        <w:t xml:space="preserve">. </w:t>
      </w:r>
      <w:r>
        <w:rPr>
          <w:rFonts w:hint="default"/>
          <w:sz w:val="24"/>
          <w:szCs w:val="24"/>
          <w:lang w:val="hr-HR"/>
        </w:rPr>
        <w:t>studenog</w:t>
      </w:r>
      <w:r>
        <w:rPr>
          <w:sz w:val="24"/>
          <w:szCs w:val="24"/>
          <w:lang w:val="hr-HR"/>
        </w:rPr>
        <w:t>, 202</w:t>
      </w:r>
      <w:r>
        <w:rPr>
          <w:rFonts w:hint="default"/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godine</w:t>
      </w:r>
    </w:p>
    <w:p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Na temelju članka 69. stavak 3. i 4. Zakona o šumama („Narodne novine“ broj 68/18, 115/18 i 98/19), i članka 18. Statuta Općine Babina Greda („Službeni vjesnik Vukovarsko - srijemske županije“ br. </w:t>
      </w:r>
      <w:r>
        <w:rPr>
          <w:sz w:val="24"/>
          <w:szCs w:val="24"/>
        </w:rPr>
        <w:t>11/09, 04/13, 03/14, 01/18, 13/18, 27/18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-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pročišćeni tekst, 21A/19, 03/20</w:t>
      </w:r>
      <w:r>
        <w:rPr>
          <w:rFonts w:hint="default"/>
          <w:sz w:val="24"/>
          <w:szCs w:val="24"/>
          <w:lang w:val="hr-HR"/>
        </w:rPr>
        <w:t xml:space="preserve"> i 04/21</w:t>
      </w:r>
      <w:r>
        <w:rPr>
          <w:sz w:val="24"/>
          <w:szCs w:val="24"/>
          <w:lang w:val="hr-HR"/>
        </w:rPr>
        <w:t xml:space="preserve">), Općinsko vijeće Općine Babina Greda, na svojoj </w:t>
      </w:r>
      <w:r>
        <w:rPr>
          <w:rFonts w:hint="default"/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 xml:space="preserve">. sjednici održanoj dana </w:t>
      </w:r>
      <w:r>
        <w:rPr>
          <w:sz w:val="24"/>
          <w:szCs w:val="24"/>
          <w:lang w:val="hr-HR"/>
        </w:rPr>
        <w:br w:type="textWrapping"/>
      </w:r>
      <w:r>
        <w:rPr>
          <w:rFonts w:hint="default"/>
          <w:sz w:val="24"/>
          <w:szCs w:val="24"/>
          <w:lang w:val="hr-HR"/>
        </w:rPr>
        <w:t>28</w:t>
      </w:r>
      <w:r>
        <w:rPr>
          <w:sz w:val="24"/>
          <w:szCs w:val="24"/>
          <w:lang w:val="hr-HR"/>
        </w:rPr>
        <w:t xml:space="preserve">. </w:t>
      </w:r>
      <w:r>
        <w:rPr>
          <w:rFonts w:hint="default"/>
          <w:sz w:val="24"/>
          <w:szCs w:val="24"/>
          <w:lang w:val="hr-HR"/>
        </w:rPr>
        <w:t>studenog</w:t>
      </w:r>
      <w:r>
        <w:rPr>
          <w:sz w:val="24"/>
          <w:szCs w:val="24"/>
          <w:lang w:val="hr-HR"/>
        </w:rPr>
        <w:t xml:space="preserve"> 202</w:t>
      </w:r>
      <w:r>
        <w:rPr>
          <w:rFonts w:hint="default"/>
          <w:sz w:val="24"/>
          <w:szCs w:val="24"/>
          <w:lang w:val="hr-HR"/>
        </w:rPr>
        <w:t>1</w:t>
      </w:r>
      <w:bookmarkStart w:id="0" w:name="_GoBack"/>
      <w:bookmarkEnd w:id="0"/>
      <w:r>
        <w:rPr>
          <w:sz w:val="24"/>
          <w:szCs w:val="24"/>
          <w:lang w:val="hr-HR"/>
        </w:rPr>
        <w:t xml:space="preserve">. godine donijelo je                </w:t>
      </w:r>
    </w:p>
    <w:p>
      <w:pPr>
        <w:rPr>
          <w:b/>
          <w:sz w:val="24"/>
          <w:szCs w:val="24"/>
          <w:lang w:val="hr-HR"/>
        </w:rPr>
      </w:pPr>
    </w:p>
    <w:p>
      <w:pPr>
        <w:jc w:val="center"/>
        <w:rPr>
          <w:rFonts w:hint="default"/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 xml:space="preserve">ODLUKU O IZMJENI I DOPUNI </w:t>
      </w:r>
    </w:p>
    <w:p>
      <w:pPr>
        <w:jc w:val="center"/>
        <w:rPr>
          <w:b/>
          <w:sz w:val="24"/>
          <w:szCs w:val="24"/>
          <w:lang w:val="hr-HR"/>
        </w:rPr>
      </w:pPr>
      <w:r>
        <w:rPr>
          <w:rFonts w:hint="default"/>
          <w:b/>
          <w:sz w:val="24"/>
          <w:szCs w:val="24"/>
          <w:lang w:val="hr-HR"/>
        </w:rPr>
        <w:t xml:space="preserve">programa </w:t>
      </w:r>
      <w:r>
        <w:rPr>
          <w:b/>
          <w:sz w:val="24"/>
          <w:szCs w:val="24"/>
          <w:lang w:val="hr-HR"/>
        </w:rPr>
        <w:t xml:space="preserve">o utrošku sredstava ostvarenih od šumskog </w:t>
      </w: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doprinosa u 2021. godini</w:t>
      </w:r>
    </w:p>
    <w:p>
      <w:pPr>
        <w:jc w:val="center"/>
        <w:rPr>
          <w:b/>
          <w:sz w:val="24"/>
          <w:szCs w:val="24"/>
          <w:lang w:val="hr-HR"/>
        </w:rPr>
      </w:pPr>
    </w:p>
    <w:p>
      <w:pPr>
        <w:jc w:val="center"/>
        <w:rPr>
          <w:b/>
          <w:sz w:val="24"/>
          <w:szCs w:val="24"/>
          <w:lang w:val="hr-HR"/>
        </w:rPr>
      </w:pPr>
    </w:p>
    <w:p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b/>
          <w:sz w:val="24"/>
          <w:szCs w:val="24"/>
          <w:lang w:val="hr-HR"/>
        </w:rPr>
        <w:t xml:space="preserve">           </w:t>
      </w:r>
      <w:r>
        <w:rPr>
          <w:b/>
          <w:sz w:val="24"/>
          <w:szCs w:val="24"/>
          <w:lang w:val="hr-HR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Članak </w:t>
      </w:r>
      <w:r>
        <w:rPr>
          <w:rFonts w:hint="default" w:cs="Times New Roman"/>
          <w:sz w:val="24"/>
          <w:szCs w:val="24"/>
          <w:lang w:val="en-US" w:eastAsia="hr-HR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. Program</w:t>
      </w:r>
      <w:r>
        <w:rPr>
          <w:rFonts w:hint="default" w:cs="Times New Roman"/>
          <w:sz w:val="24"/>
          <w:szCs w:val="24"/>
          <w:lang w:val="en-US" w:eastAsia="hr-HR"/>
        </w:rPr>
        <w:t xml:space="preserve"> o utrošku sredstava ostvarenih od šumskog doprinosa u 2021. godini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(„Sl. Vjesnik</w:t>
      </w:r>
      <w:r>
        <w:rPr>
          <w:rFonts w:hint="default" w:cs="Times New Roman"/>
          <w:sz w:val="24"/>
          <w:szCs w:val="24"/>
          <w:lang w:val="en-US" w:eastAsia="hr-HR"/>
        </w:rPr>
        <w:t xml:space="preserve"> Vukovarsko - srijemske županije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>“</w:t>
      </w:r>
      <w:r>
        <w:rPr>
          <w:rFonts w:hint="default" w:cs="Times New Roman"/>
          <w:sz w:val="24"/>
          <w:szCs w:val="24"/>
          <w:lang w:val="en-US" w:eastAsia="hr-HR"/>
        </w:rPr>
        <w:t xml:space="preserve"> br.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24/20), mijenja se i glasi:</w:t>
      </w:r>
    </w:p>
    <w:p>
      <w:pPr>
        <w:jc w:val="both"/>
        <w:rPr>
          <w:sz w:val="24"/>
          <w:szCs w:val="24"/>
          <w:lang w:val="hr-HR"/>
        </w:rPr>
      </w:pPr>
    </w:p>
    <w:p>
      <w:pPr>
        <w:pStyle w:val="5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“</w:t>
      </w:r>
      <w:r>
        <w:rPr>
          <w:sz w:val="24"/>
          <w:szCs w:val="24"/>
          <w:lang w:val="hr-HR"/>
        </w:rPr>
        <w:t xml:space="preserve">Planirani prihod sredstava iznosi </w:t>
      </w:r>
      <w:r>
        <w:rPr>
          <w:rFonts w:hint="default"/>
          <w:sz w:val="24"/>
          <w:szCs w:val="24"/>
          <w:lang w:val="hr-HR"/>
        </w:rPr>
        <w:t>1.255.000,00</w:t>
      </w:r>
      <w:r>
        <w:rPr>
          <w:sz w:val="24"/>
          <w:szCs w:val="24"/>
          <w:lang w:val="hr-HR"/>
        </w:rPr>
        <w:t xml:space="preserve"> kuna.</w:t>
      </w:r>
    </w:p>
    <w:p>
      <w:pPr>
        <w:jc w:val="both"/>
        <w:rPr>
          <w:sz w:val="24"/>
          <w:szCs w:val="24"/>
          <w:lang w:val="hr-HR"/>
        </w:rPr>
      </w:pPr>
    </w:p>
    <w:p>
      <w:pPr>
        <w:ind w:left="705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Raspored utroška sredstava:</w:t>
      </w:r>
    </w:p>
    <w:p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40"/>
        <w:gridCol w:w="1723"/>
        <w:gridCol w:w="316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124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Konto</w:t>
            </w:r>
          </w:p>
        </w:tc>
        <w:tc>
          <w:tcPr>
            <w:tcW w:w="172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</w:t>
            </w:r>
          </w:p>
        </w:tc>
        <w:tc>
          <w:tcPr>
            <w:tcW w:w="316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rashoda</w:t>
            </w:r>
          </w:p>
        </w:tc>
        <w:tc>
          <w:tcPr>
            <w:tcW w:w="223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iznos  u kunama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default"/>
                <w:sz w:val="24"/>
                <w:szCs w:val="24"/>
                <w:lang w:val="hr-HR"/>
              </w:rPr>
              <w:t>2329</w:t>
            </w:r>
          </w:p>
        </w:tc>
        <w:tc>
          <w:tcPr>
            <w:tcW w:w="1723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</w:rPr>
              <w:t>R0</w:t>
            </w:r>
            <w:r>
              <w:rPr>
                <w:rFonts w:hint="default"/>
                <w:sz w:val="24"/>
                <w:szCs w:val="24"/>
                <w:lang w:val="hr-HR"/>
              </w:rPr>
              <w:t>053</w:t>
            </w:r>
          </w:p>
        </w:tc>
        <w:tc>
          <w:tcPr>
            <w:tcW w:w="3162" w:type="dxa"/>
          </w:tcPr>
          <w:p>
            <w:pPr>
              <w:jc w:val="center"/>
              <w:rPr>
                <w:rFonts w:hint="default"/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Održavanje cesta i poljskih puteva</w:t>
            </w:r>
          </w:p>
        </w:tc>
        <w:tc>
          <w:tcPr>
            <w:tcW w:w="22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1.255.000,00</w:t>
            </w:r>
            <w:r>
              <w:rPr>
                <w:sz w:val="24"/>
                <w:szCs w:val="24"/>
              </w:rPr>
              <w:t xml:space="preserve"> kuna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nil"/>
              <w:right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SVEUKUPNO</w:t>
            </w:r>
          </w:p>
        </w:tc>
        <w:tc>
          <w:tcPr>
            <w:tcW w:w="3162" w:type="dxa"/>
            <w:tcBorders>
              <w:left w:val="nil"/>
            </w:tcBorders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hr-HR"/>
              </w:rPr>
            </w:pPr>
            <w:r>
              <w:rPr>
                <w:rFonts w:hint="default"/>
                <w:b/>
                <w:sz w:val="24"/>
                <w:szCs w:val="24"/>
                <w:lang w:val="hr-HR"/>
              </w:rPr>
              <w:t>1.255.000,00</w:t>
            </w:r>
            <w:r>
              <w:rPr>
                <w:b/>
                <w:sz w:val="24"/>
                <w:szCs w:val="24"/>
              </w:rPr>
              <w:t xml:space="preserve"> kuna</w:t>
            </w:r>
            <w:r>
              <w:rPr>
                <w:rFonts w:hint="default"/>
                <w:b/>
                <w:sz w:val="24"/>
                <w:szCs w:val="24"/>
                <w:lang w:val="hr-HR"/>
              </w:rPr>
              <w:t>”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Ovaj Program stupa na snagu osmog dana od dana objave u “Službenom vjesniku Vukovarsko – srijemske županije”.</w:t>
      </w: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Predsjednik Općinskog vijeća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hint="default"/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hr-HR"/>
        </w:rPr>
        <w:t>Tomo Đaković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E37F9"/>
    <w:multiLevelType w:val="multilevel"/>
    <w:tmpl w:val="2C1E37F9"/>
    <w:lvl w:ilvl="0" w:tentative="0">
      <w:start w:val="1"/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  <w:color w:val="auto"/>
      </w:rPr>
    </w:lvl>
    <w:lvl w:ilvl="1" w:tentative="0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A3"/>
    <w:rsid w:val="001065DF"/>
    <w:rsid w:val="002E0519"/>
    <w:rsid w:val="0071171B"/>
    <w:rsid w:val="007425A3"/>
    <w:rsid w:val="007512CA"/>
    <w:rsid w:val="00A47DDE"/>
    <w:rsid w:val="00C123F9"/>
    <w:rsid w:val="1E797F52"/>
    <w:rsid w:val="5963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1400</Characters>
  <Lines>11</Lines>
  <Paragraphs>3</Paragraphs>
  <TotalTime>9</TotalTime>
  <ScaleCrop>false</ScaleCrop>
  <LinksUpToDate>false</LinksUpToDate>
  <CharactersWithSpaces>1642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2020-12-08T17:56:00Z</dcterms:created>
  <dc:creator>SDP Babina Greda</dc:creator>
  <cp:lastModifiedBy>Općina Babina Greda</cp:lastModifiedBy>
  <dcterms:modified xsi:type="dcterms:W3CDTF">2021-11-29T20:35:21Z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2C9F7FDBDABC44BE86DC82AE346FDEA3</vt:lpwstr>
  </property>
</Properties>
</file>