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10C6" w14:textId="77777777" w:rsidR="004945BB" w:rsidRDefault="00127FB3" w:rsidP="00127FB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945BB" w:rsidRPr="004945BB" w14:paraId="0A9FFAD4" w14:textId="77777777" w:rsidTr="00C20F83">
        <w:trPr>
          <w:trHeight w:val="1605"/>
        </w:trPr>
        <w:tc>
          <w:tcPr>
            <w:tcW w:w="6045" w:type="dxa"/>
          </w:tcPr>
          <w:p w14:paraId="4F910CAC" w14:textId="77777777" w:rsidR="004945BB" w:rsidRPr="004945BB" w:rsidRDefault="004945BB" w:rsidP="004945B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+*xfs*pvs*lsu*cvA*xBj*qEC*oCa*qdA*uEw*lna*pBk*-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+*yqw*wkv*xDa*mBt*ugc*dzi*lro*rdz*Bbo*jus*zew*-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+*eDs*lyd*lyd*lyd*lyd*btv*bwx*tjl*nsf*gDj*zfE*-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+*ftw*BqC*caa*rrB*Fyz*gyi*ntu*ijr*aig*lAq*onA*-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+*ftA*taC*kFt*wCF*xBC*dwc*Ezr*krn*FxA*oDv*uws*-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+*xjq*mbx*vfw*lwf*uny*jvm*bxu*iEa*nwF*ntg*uzq*-</w:t>
            </w:r>
            <w:r w:rsidRPr="004945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4437A8C5" w14:textId="453FFF1B" w:rsidR="00127FB3" w:rsidRDefault="004945BB" w:rsidP="00127FB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27FB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27FB3" w:rsidRPr="00491673">
        <w:rPr>
          <w:rFonts w:ascii="Times New Roman" w:hAnsi="Times New Roman"/>
          <w:sz w:val="24"/>
          <w:szCs w:val="24"/>
        </w:rPr>
        <w:object w:dxaOrig="2925" w:dyaOrig="3870" w14:anchorId="0B1BC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4" o:title=""/>
          </v:shape>
          <o:OLEObject Type="Embed" ProgID="MSPhotoEd.3" ShapeID="_x0000_i1025" DrawAspect="Content" ObjectID="_1773517992" r:id="rId5"/>
        </w:object>
      </w:r>
    </w:p>
    <w:p w14:paraId="265263F6" w14:textId="77777777" w:rsidR="00127FB3" w:rsidRPr="00FA5EBE" w:rsidRDefault="00127FB3" w:rsidP="00127FB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41D19867" w14:textId="77777777" w:rsidR="00127FB3" w:rsidRPr="00FA5EBE" w:rsidRDefault="00127FB3" w:rsidP="00127FB3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20D07E90" w14:textId="77777777" w:rsidR="00127FB3" w:rsidRPr="00FA5EBE" w:rsidRDefault="00127FB3" w:rsidP="00127FB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14EDFA1" wp14:editId="79F4C2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7994174D" w14:textId="77777777" w:rsidR="00127FB3" w:rsidRPr="00FA5EBE" w:rsidRDefault="00127FB3" w:rsidP="00127FB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45348695" w14:textId="77777777" w:rsidR="00127FB3" w:rsidRDefault="00127FB3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EA0F2" w14:textId="432A7FA8" w:rsidR="00127FB3" w:rsidRPr="00363B84" w:rsidRDefault="00127FB3" w:rsidP="0012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500-01/24-01/</w:t>
      </w:r>
      <w:r w:rsidR="004945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1E11D9B" w14:textId="1A9A6BF8" w:rsidR="00127FB3" w:rsidRPr="00363B84" w:rsidRDefault="00127FB3" w:rsidP="0012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2196-7-01-24-1</w:t>
      </w:r>
    </w:p>
    <w:p w14:paraId="6439BE44" w14:textId="3ECFA168" w:rsidR="00127FB3" w:rsidRPr="00363B84" w:rsidRDefault="00127FB3" w:rsidP="0012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4945BB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ožujka 2024.                                           </w:t>
      </w:r>
    </w:p>
    <w:p w14:paraId="4783B11E" w14:textId="77777777" w:rsidR="00127FB3" w:rsidRPr="00363B84" w:rsidRDefault="00127FB3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6FF6D" w14:textId="13DF148A" w:rsidR="000A485F" w:rsidRPr="00363B84" w:rsidRDefault="000A485F" w:rsidP="00363B84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Zakona o zaštiti pučanstva od zaraznih bolesti (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79/07, 113/08, 43/09, 130/17, 47/20, 134/20, 143/21), članka 18. Statuta Općine Babina Greda („Sl. vjesnik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03/14,01/18, 13/18, 03/20, 04/21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Babina Greda na 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sjednici održanoj dana </w:t>
      </w:r>
      <w:r w:rsidR="004945BB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d o n o s i </w:t>
      </w:r>
    </w:p>
    <w:p w14:paraId="37E77B7F" w14:textId="38073AEC" w:rsidR="000A485F" w:rsidRPr="00363B84" w:rsidRDefault="000A485F" w:rsidP="00363B84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REALIZACIJI PROGRAMA</w:t>
      </w:r>
      <w:r w:rsidR="00363B84"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MJERA ZAŠTITE PUČANSTVA OD ZARAZNIH BOLESTI - DEZINFEKCIJA, DEZINSEKCIJA I DERATIZACIJA NA PODRUČJU OPĆINE BABINA GREDA</w:t>
      </w:r>
      <w:r w:rsidR="00363B84"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202</w:t>
      </w:r>
      <w:r w:rsidR="00127FB3"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363B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E3A9555" w14:textId="77777777" w:rsidR="000A485F" w:rsidRPr="00363B84" w:rsidRDefault="000A485F" w:rsidP="00363B8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A1B64" w14:textId="2F2D09A8" w:rsidR="000A485F" w:rsidRDefault="000A485F" w:rsidP="00363B8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A29269F" w14:textId="77777777" w:rsidR="00363B84" w:rsidRPr="00363B84" w:rsidRDefault="00363B84" w:rsidP="00363B8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BEE38" w14:textId="466582CD" w:rsidR="000A485F" w:rsidRDefault="000A485F" w:rsidP="00363B84">
      <w:pPr>
        <w:suppressAutoHyphens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realizaciji Programa mjera zaštite pučanstva od zaraznih bolesti – dezinfekcija, dezinsekcija i deratizacija na području Općine Babina Greda za 202</w:t>
      </w:r>
      <w:r w:rsidR="00127FB3"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kako slijedi:</w:t>
      </w:r>
    </w:p>
    <w:p w14:paraId="168D6BCC" w14:textId="77777777" w:rsidR="00363B84" w:rsidRDefault="00363B84" w:rsidP="000A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3B84" w14:paraId="39AB30F8" w14:textId="77777777" w:rsidTr="00363B84">
        <w:tc>
          <w:tcPr>
            <w:tcW w:w="2254" w:type="dxa"/>
          </w:tcPr>
          <w:p w14:paraId="4C916755" w14:textId="194C93F5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MJERE</w:t>
            </w:r>
          </w:p>
        </w:tc>
        <w:tc>
          <w:tcPr>
            <w:tcW w:w="2254" w:type="dxa"/>
          </w:tcPr>
          <w:p w14:paraId="013613EE" w14:textId="4883C55E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(eura)</w:t>
            </w:r>
          </w:p>
        </w:tc>
        <w:tc>
          <w:tcPr>
            <w:tcW w:w="2254" w:type="dxa"/>
          </w:tcPr>
          <w:p w14:paraId="12A74218" w14:textId="02377647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Ostvareno (eura)</w:t>
            </w:r>
          </w:p>
        </w:tc>
        <w:tc>
          <w:tcPr>
            <w:tcW w:w="2254" w:type="dxa"/>
          </w:tcPr>
          <w:p w14:paraId="359F41C7" w14:textId="24C12E14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Realizacija (%)</w:t>
            </w:r>
          </w:p>
        </w:tc>
      </w:tr>
      <w:tr w:rsidR="00363B84" w14:paraId="1E832DBB" w14:textId="77777777" w:rsidTr="00363B84">
        <w:trPr>
          <w:trHeight w:val="573"/>
        </w:trPr>
        <w:tc>
          <w:tcPr>
            <w:tcW w:w="2254" w:type="dxa"/>
          </w:tcPr>
          <w:p w14:paraId="778268C4" w14:textId="0366417F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DEZINFEKCIJA</w:t>
            </w:r>
          </w:p>
        </w:tc>
        <w:tc>
          <w:tcPr>
            <w:tcW w:w="2254" w:type="dxa"/>
          </w:tcPr>
          <w:p w14:paraId="60FA1CC4" w14:textId="74233DAF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432,00</w:t>
            </w:r>
          </w:p>
        </w:tc>
        <w:tc>
          <w:tcPr>
            <w:tcW w:w="2254" w:type="dxa"/>
          </w:tcPr>
          <w:p w14:paraId="762E64E4" w14:textId="7FC644D2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556,52</w:t>
            </w:r>
          </w:p>
        </w:tc>
        <w:tc>
          <w:tcPr>
            <w:tcW w:w="2254" w:type="dxa"/>
          </w:tcPr>
          <w:p w14:paraId="6CE168ED" w14:textId="1CBBB5B8" w:rsidR="00363B84" w:rsidRDefault="00F41A1D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128,82</w:t>
            </w:r>
          </w:p>
        </w:tc>
      </w:tr>
      <w:tr w:rsidR="00363B84" w14:paraId="15EE59D5" w14:textId="77777777" w:rsidTr="00363B84">
        <w:trPr>
          <w:trHeight w:val="567"/>
        </w:trPr>
        <w:tc>
          <w:tcPr>
            <w:tcW w:w="2254" w:type="dxa"/>
          </w:tcPr>
          <w:p w14:paraId="297E2C7C" w14:textId="2B623862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DEZINSEKCIJA</w:t>
            </w:r>
          </w:p>
        </w:tc>
        <w:tc>
          <w:tcPr>
            <w:tcW w:w="2254" w:type="dxa"/>
          </w:tcPr>
          <w:p w14:paraId="687D6ACF" w14:textId="58C07AB9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10.819,00</w:t>
            </w:r>
          </w:p>
        </w:tc>
        <w:tc>
          <w:tcPr>
            <w:tcW w:w="2254" w:type="dxa"/>
          </w:tcPr>
          <w:p w14:paraId="2E777844" w14:textId="162D3CAC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11.446,75</w:t>
            </w:r>
          </w:p>
        </w:tc>
        <w:tc>
          <w:tcPr>
            <w:tcW w:w="2254" w:type="dxa"/>
          </w:tcPr>
          <w:p w14:paraId="384DA637" w14:textId="22CA2730" w:rsidR="00363B84" w:rsidRDefault="00F41A1D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105,80</w:t>
            </w:r>
          </w:p>
        </w:tc>
      </w:tr>
      <w:tr w:rsidR="00363B84" w14:paraId="72EF0947" w14:textId="77777777" w:rsidTr="00363B84">
        <w:trPr>
          <w:trHeight w:val="561"/>
        </w:trPr>
        <w:tc>
          <w:tcPr>
            <w:tcW w:w="2254" w:type="dxa"/>
          </w:tcPr>
          <w:p w14:paraId="73F90FA6" w14:textId="53F5E01F" w:rsidR="00363B84" w:rsidRP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DERATIZACIJA</w:t>
            </w:r>
          </w:p>
        </w:tc>
        <w:tc>
          <w:tcPr>
            <w:tcW w:w="2254" w:type="dxa"/>
          </w:tcPr>
          <w:p w14:paraId="34DA5A40" w14:textId="003228C5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5.783,00</w:t>
            </w:r>
          </w:p>
        </w:tc>
        <w:tc>
          <w:tcPr>
            <w:tcW w:w="2254" w:type="dxa"/>
          </w:tcPr>
          <w:p w14:paraId="37C52856" w14:textId="028A6272" w:rsidR="00363B84" w:rsidRDefault="00363B84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10,775,00</w:t>
            </w:r>
          </w:p>
        </w:tc>
        <w:tc>
          <w:tcPr>
            <w:tcW w:w="2254" w:type="dxa"/>
          </w:tcPr>
          <w:p w14:paraId="21A931FA" w14:textId="25D9D98E" w:rsidR="00363B84" w:rsidRDefault="00F41A1D" w:rsidP="0036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186,32</w:t>
            </w:r>
          </w:p>
        </w:tc>
      </w:tr>
    </w:tbl>
    <w:p w14:paraId="6D89ACF2" w14:textId="77777777" w:rsidR="00127FB3" w:rsidRPr="00363B84" w:rsidRDefault="00127FB3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27399A" w14:textId="7E226F2E" w:rsidR="000A485F" w:rsidRPr="00363B84" w:rsidRDefault="000A485F" w:rsidP="000A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7D9A4BB" w14:textId="77777777" w:rsidR="000A485F" w:rsidRPr="00363B84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A92EB" w14:textId="223639DD" w:rsidR="00363B84" w:rsidRPr="00363B84" w:rsidRDefault="00363B84" w:rsidP="00363B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3B84">
        <w:rPr>
          <w:rFonts w:ascii="Times New Roman" w:hAnsi="Times New Roman"/>
          <w:sz w:val="24"/>
          <w:szCs w:val="24"/>
        </w:rPr>
        <w:t>Ova Odluka stupa na snagu osmog (8) dana od dana objave u „Službenom vjesniku“ Vukovarsko-srijemske županije.</w:t>
      </w:r>
    </w:p>
    <w:p w14:paraId="3A1AE012" w14:textId="28D95156" w:rsidR="000A485F" w:rsidRPr="00363B84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210AE" w14:textId="3F57D06F" w:rsidR="000A485F" w:rsidRPr="00363B84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C479779" w14:textId="667774F6" w:rsidR="000A485F" w:rsidRPr="00363B84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OPĆINSKOG VIJEĆA</w:t>
      </w:r>
    </w:p>
    <w:p w14:paraId="0FCF01DF" w14:textId="6000B546" w:rsidR="000A485F" w:rsidRPr="00363B84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</w:p>
    <w:p w14:paraId="26C5E7FB" w14:textId="5070297F" w:rsidR="00C141C1" w:rsidRPr="004945BB" w:rsidRDefault="000A485F" w:rsidP="0049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Tomo Đaković</w:t>
      </w:r>
    </w:p>
    <w:sectPr w:rsidR="00C141C1" w:rsidRPr="0049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02"/>
    <w:rsid w:val="000A485F"/>
    <w:rsid w:val="00127FB3"/>
    <w:rsid w:val="00363B84"/>
    <w:rsid w:val="004945BB"/>
    <w:rsid w:val="00615C02"/>
    <w:rsid w:val="00C141C1"/>
    <w:rsid w:val="00F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92D"/>
  <w15:chartTrackingRefBased/>
  <w15:docId w15:val="{A0D53D90-CA7C-49DE-A710-818E44B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6</cp:revision>
  <cp:lastPrinted>2024-03-21T09:49:00Z</cp:lastPrinted>
  <dcterms:created xsi:type="dcterms:W3CDTF">2023-04-01T12:36:00Z</dcterms:created>
  <dcterms:modified xsi:type="dcterms:W3CDTF">2024-04-01T21:07:00Z</dcterms:modified>
</cp:coreProperties>
</file>