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AA1A01" w:rsidRPr="00AA1A01" w14:paraId="5161DF2D" w14:textId="77777777" w:rsidTr="00D42A88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0169C2C6" w14:textId="0DBA6BDF" w:rsidR="00AA1A01" w:rsidRPr="00C441DC" w:rsidRDefault="00AA1A01" w:rsidP="00C441DC">
            <w:pPr>
              <w:jc w:val="both"/>
            </w:pPr>
            <w:bookmarkStart w:id="0" w:name="_Hlk107255613"/>
          </w:p>
        </w:tc>
      </w:tr>
    </w:tbl>
    <w:bookmarkEnd w:id="0"/>
    <w:p w14:paraId="1A238B29" w14:textId="77777777" w:rsidR="00C441DC" w:rsidRDefault="00C441DC" w:rsidP="00C441DC">
      <w:pPr>
        <w:tabs>
          <w:tab w:val="left" w:pos="4395"/>
        </w:tabs>
        <w:overflowPunct w:val="0"/>
        <w:adjustRightInd w:val="0"/>
        <w:ind w:right="45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441DC" w:rsidRPr="00835F5B" w14:paraId="34A1D3A9" w14:textId="77777777" w:rsidTr="008D0823">
        <w:trPr>
          <w:trHeight w:val="1605"/>
        </w:trPr>
        <w:tc>
          <w:tcPr>
            <w:tcW w:w="6045" w:type="dxa"/>
          </w:tcPr>
          <w:p w14:paraId="609E514D" w14:textId="77777777" w:rsidR="00C441DC" w:rsidRPr="00835F5B" w:rsidRDefault="00C441DC" w:rsidP="008D082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+*xfs*pvs*lsu*cvA*xBj*qEC*oCa*qdA*uEw*DaC*pBk*-</w:t>
            </w: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+*yqw*mic*nbm*obc*ugc*dzi*lro*zil*yma*jus*zew*-</w:t>
            </w: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+*eDs*lyd*lyd*lyd*lyd*nxB*qky*Bps*vye*urw*zfE*-</w:t>
            </w: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+*ftw*sta*iwc*lna*aaC*ggC*hyj*pAs*twt*jjC*onA*-</w:t>
            </w: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+*ftA*izo*nyr*jkr*xhk*qjC*sFv*viB*jsq*wgu*uws*-</w:t>
            </w: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+*xjq*Bwo*qty*BCy*qlw*zch*caz*jra*cns*ktj*uzq*-</w:t>
            </w:r>
            <w:r w:rsidRPr="00835F5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7B0A8AE9" w14:textId="719FFF57" w:rsidR="00C441DC" w:rsidRPr="00A03A83" w:rsidRDefault="00C441DC" w:rsidP="00C441DC">
      <w:pPr>
        <w:tabs>
          <w:tab w:val="left" w:pos="4395"/>
        </w:tabs>
        <w:overflowPunct w:val="0"/>
        <w:adjustRightInd w:val="0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03A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44D1D5" wp14:editId="48328F87">
            <wp:extent cx="561975" cy="733425"/>
            <wp:effectExtent l="0" t="0" r="9525" b="9525"/>
            <wp:docPr id="158500728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1A22" w14:textId="7AB859D5" w:rsidR="00C441DC" w:rsidRPr="00A03A83" w:rsidRDefault="00C441DC" w:rsidP="00C441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R E P U B L I K A   H R V A T S K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  <w:t xml:space="preserve"> </w:t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VUKOVARSKO-SRIJEMSKA ŽUPANIJA</w:t>
      </w:r>
    </w:p>
    <w:p w14:paraId="7A8770B3" w14:textId="7AC2D873" w:rsidR="00C441DC" w:rsidRPr="004700BE" w:rsidRDefault="00C441DC" w:rsidP="00C441DC">
      <w:p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3A83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B8FBE5" wp14:editId="5A6289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57188975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ar-SA"/>
        </w:rPr>
        <w:t xml:space="preserve">  </w:t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OPĆINA BABINA GREDA </w:t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0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OPĆINSKO VIJEĆE</w:t>
      </w:r>
    </w:p>
    <w:p w14:paraId="38FB8807" w14:textId="77777777" w:rsidR="00C441DC" w:rsidRPr="00A03A83" w:rsidRDefault="00C441DC" w:rsidP="00C441DC">
      <w:pPr>
        <w:rPr>
          <w:rFonts w:ascii="Times New Roman" w:eastAsia="Arial Unicode MS" w:hAnsi="Times New Roman" w:cs="Times New Roman"/>
          <w:sz w:val="24"/>
          <w:szCs w:val="24"/>
        </w:rPr>
      </w:pPr>
      <w:r w:rsidRPr="00A03A8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>
        <w:rPr>
          <w:rFonts w:ascii="Times New Roman" w:eastAsia="Arial Unicode MS" w:hAnsi="Times New Roman" w:cs="Times New Roman"/>
          <w:sz w:val="24"/>
          <w:szCs w:val="24"/>
        </w:rPr>
        <w:t>601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-0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/2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-01/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URBROJ: 2196-7-01-2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-1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 xml:space="preserve">Babina Greda, </w:t>
      </w:r>
      <w:r>
        <w:rPr>
          <w:rFonts w:ascii="Times New Roman" w:eastAsia="Arial Unicode MS" w:hAnsi="Times New Roman" w:cs="Times New Roman"/>
          <w:sz w:val="24"/>
          <w:szCs w:val="24"/>
        </w:rPr>
        <w:t>10. ožujka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A03A8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49E37E8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64D37E12" w14:textId="77777777" w:rsidR="00C441DC" w:rsidRDefault="00C441DC" w:rsidP="00C441DC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Na temelju članka 18. Statuta Općine Babina Greda </w:t>
      </w:r>
      <w:r>
        <w:rPr>
          <w:bCs/>
          <w:lang w:eastAsia="hr-HR"/>
        </w:rPr>
        <w:t xml:space="preserve">(„Sl. vjesnik” Vukovarsko-srijemske županije“ br. 11/09,04/13, 03/14, 01/18, 13/18, 03/20, 04/21, 16/23 i 18/23) </w:t>
      </w:r>
      <w:r>
        <w:rPr>
          <w:lang w:val="hr-HR"/>
        </w:rPr>
        <w:t>Općinsko vijeće Općine Babina Greda na 26. sjednici održanoj dana 10. ožujka 2024. godine, donosi</w:t>
      </w:r>
    </w:p>
    <w:p w14:paraId="20985A9F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0FD956B0" w14:textId="77777777" w:rsidR="00C441DC" w:rsidRDefault="00C441DC" w:rsidP="00C441DC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</w:t>
      </w:r>
    </w:p>
    <w:p w14:paraId="1FDF5802" w14:textId="77777777" w:rsidR="00C441DC" w:rsidRDefault="00C441DC" w:rsidP="00C441DC">
      <w:pPr>
        <w:pStyle w:val="WW-Default"/>
        <w:jc w:val="center"/>
        <w:rPr>
          <w:lang w:val="hr-HR"/>
        </w:rPr>
      </w:pPr>
      <w:r>
        <w:rPr>
          <w:lang w:val="hr-HR"/>
        </w:rPr>
        <w:t>O D  L  U  K  U</w:t>
      </w:r>
    </w:p>
    <w:p w14:paraId="564015CC" w14:textId="77777777" w:rsidR="00C441DC" w:rsidRDefault="00C441DC" w:rsidP="00C441DC">
      <w:pPr>
        <w:pStyle w:val="WW-Default"/>
        <w:jc w:val="center"/>
        <w:rPr>
          <w:lang w:val="hr-HR"/>
        </w:rPr>
      </w:pPr>
    </w:p>
    <w:p w14:paraId="7391217A" w14:textId="77777777" w:rsidR="00C441DC" w:rsidRDefault="00C441DC" w:rsidP="00C441DC">
      <w:pPr>
        <w:pStyle w:val="WW-Default"/>
        <w:jc w:val="center"/>
        <w:rPr>
          <w:lang w:val="hr-HR"/>
        </w:rPr>
      </w:pPr>
    </w:p>
    <w:p w14:paraId="21BE3484" w14:textId="77777777" w:rsidR="00C441DC" w:rsidRDefault="00C441DC" w:rsidP="00C441DC">
      <w:pPr>
        <w:pStyle w:val="WW-Default"/>
        <w:jc w:val="center"/>
        <w:rPr>
          <w:lang w:val="hr-HR"/>
        </w:rPr>
      </w:pPr>
      <w:r>
        <w:rPr>
          <w:lang w:val="hr-HR"/>
        </w:rPr>
        <w:t>I.</w:t>
      </w:r>
    </w:p>
    <w:p w14:paraId="18F174B6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02172BE9" w14:textId="77777777" w:rsidR="00C441DC" w:rsidRDefault="00C441DC" w:rsidP="00C441DC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Prihvaća se financijsko izvješće Dječjeg vrtića Regoč iz Babine Grede za 2023. godinu.</w:t>
      </w:r>
    </w:p>
    <w:p w14:paraId="4DFC2930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5DC50256" w14:textId="77777777" w:rsidR="00C441DC" w:rsidRDefault="00C441DC" w:rsidP="00C441DC">
      <w:pPr>
        <w:pStyle w:val="WW-Default"/>
        <w:jc w:val="center"/>
        <w:rPr>
          <w:lang w:val="hr-HR"/>
        </w:rPr>
      </w:pPr>
      <w:r>
        <w:rPr>
          <w:lang w:val="hr-HR"/>
        </w:rPr>
        <w:t>II.</w:t>
      </w:r>
    </w:p>
    <w:p w14:paraId="69F77D4C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568EC791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3E8AE24A" w14:textId="77777777" w:rsidR="00C441DC" w:rsidRDefault="00C441DC" w:rsidP="00C441DC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Navedeno Izvješće iz članka I., čini sastavni dio ove Odluke.</w:t>
      </w:r>
    </w:p>
    <w:p w14:paraId="7117F7D6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3F8BCD78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715650D4" w14:textId="77777777" w:rsidR="00C441DC" w:rsidRDefault="00C441DC" w:rsidP="00C441DC">
      <w:pPr>
        <w:pStyle w:val="WW-Default"/>
        <w:jc w:val="center"/>
        <w:rPr>
          <w:lang w:val="hr-HR"/>
        </w:rPr>
      </w:pPr>
      <w:r>
        <w:rPr>
          <w:lang w:val="hr-HR"/>
        </w:rPr>
        <w:t>III.</w:t>
      </w:r>
    </w:p>
    <w:p w14:paraId="1767C5DC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031E51AE" w14:textId="77777777" w:rsidR="00C441DC" w:rsidRDefault="00C441DC" w:rsidP="00C441DC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>Ova Odluka stupa na snagu danom donošenja.</w:t>
      </w:r>
    </w:p>
    <w:p w14:paraId="3D304200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7F60BFE8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77EEDD2A" w14:textId="77777777" w:rsidR="00C441DC" w:rsidRDefault="00C441DC" w:rsidP="00C441DC">
      <w:pPr>
        <w:pStyle w:val="WW-Default"/>
        <w:rPr>
          <w:lang w:val="hr-HR"/>
        </w:rPr>
      </w:pPr>
    </w:p>
    <w:p w14:paraId="21A79237" w14:textId="77777777" w:rsidR="00C441DC" w:rsidRDefault="00C441DC" w:rsidP="00C441DC">
      <w:pPr>
        <w:pStyle w:val="WW-Defaul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Predsjednik</w:t>
      </w:r>
    </w:p>
    <w:p w14:paraId="34A1087F" w14:textId="77777777" w:rsidR="00C441DC" w:rsidRDefault="00C441DC" w:rsidP="00C441DC">
      <w:pPr>
        <w:pStyle w:val="WW-Defaul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Općinskog vijeća:</w:t>
      </w:r>
    </w:p>
    <w:p w14:paraId="20CFB2AD" w14:textId="77777777" w:rsidR="00C441DC" w:rsidRDefault="00C441DC" w:rsidP="00C441DC">
      <w:pPr>
        <w:pStyle w:val="WW-Default"/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br/>
        <w:t xml:space="preserve">                                                                                                       Tomo Đaković</w:t>
      </w:r>
    </w:p>
    <w:p w14:paraId="1D13102B" w14:textId="77777777" w:rsidR="00C441DC" w:rsidRDefault="00C441DC" w:rsidP="00C441DC">
      <w:pPr>
        <w:pStyle w:val="WW-Default"/>
        <w:jc w:val="both"/>
        <w:rPr>
          <w:lang w:val="hr-HR"/>
        </w:rPr>
      </w:pPr>
    </w:p>
    <w:p w14:paraId="7F600E6B" w14:textId="77777777" w:rsidR="00C441DC" w:rsidRDefault="00C441DC" w:rsidP="00C441DC">
      <w:pPr>
        <w:pStyle w:val="WW-Default"/>
        <w:jc w:val="both"/>
        <w:rPr>
          <w:lang w:val="hr-HR"/>
        </w:rPr>
      </w:pPr>
      <w:r>
        <w:rPr>
          <w:lang w:val="hr-HR"/>
        </w:rPr>
        <w:t>Dostaviti:</w:t>
      </w:r>
    </w:p>
    <w:p w14:paraId="2316260B" w14:textId="77777777" w:rsidR="00C441DC" w:rsidRDefault="00C441DC" w:rsidP="00C441DC">
      <w:pPr>
        <w:pStyle w:val="WW-Default"/>
        <w:numPr>
          <w:ilvl w:val="0"/>
          <w:numId w:val="39"/>
        </w:numPr>
        <w:jc w:val="both"/>
        <w:rPr>
          <w:lang w:val="hr-HR"/>
        </w:rPr>
      </w:pPr>
      <w:r>
        <w:rPr>
          <w:lang w:val="hr-HR"/>
        </w:rPr>
        <w:t xml:space="preserve">Dječji vrtić Regoč, </w:t>
      </w:r>
    </w:p>
    <w:p w14:paraId="23BE418D" w14:textId="77777777" w:rsidR="00C441DC" w:rsidRDefault="00C441DC" w:rsidP="00C441DC">
      <w:pPr>
        <w:pStyle w:val="WW-Default"/>
        <w:ind w:left="360"/>
        <w:jc w:val="both"/>
        <w:rPr>
          <w:lang w:val="hr-HR"/>
        </w:rPr>
      </w:pPr>
      <w:r>
        <w:rPr>
          <w:lang w:val="hr-HR"/>
        </w:rPr>
        <w:t>Braće Radić 15B, 32276 Babina Greda,</w:t>
      </w:r>
    </w:p>
    <w:p w14:paraId="429BEAEB" w14:textId="244FA6ED" w:rsidR="00C441DC" w:rsidRPr="00C441DC" w:rsidRDefault="00C441DC" w:rsidP="00AA1A01">
      <w:pPr>
        <w:pStyle w:val="WW-Default"/>
        <w:numPr>
          <w:ilvl w:val="0"/>
          <w:numId w:val="39"/>
        </w:numPr>
        <w:jc w:val="both"/>
      </w:pPr>
      <w:r>
        <w:rPr>
          <w:lang w:val="hr-HR"/>
        </w:rPr>
        <w:t>Pismohrana</w:t>
      </w:r>
      <w:r>
        <w:rPr>
          <w:lang w:val="hr-HR"/>
        </w:rPr>
        <w:t>.</w:t>
      </w:r>
    </w:p>
    <w:p w14:paraId="1D25EDDE" w14:textId="77777777" w:rsidR="00C441DC" w:rsidRDefault="00C441DC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565B281" w14:textId="77777777" w:rsidR="00C441DC" w:rsidRDefault="00C441DC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7773688" w14:textId="77777777" w:rsidR="00C441DC" w:rsidRDefault="00C441DC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2A6666A" w14:textId="77777777" w:rsidR="00C441DC" w:rsidRDefault="00C441DC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15DBEE2" w14:textId="77777777" w:rsidR="00C441DC" w:rsidRDefault="00C441DC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2C3A8C8" w14:textId="77777777" w:rsidR="00C441DC" w:rsidRDefault="00C441DC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F53A674" w14:textId="2470B45A" w:rsidR="00AA1A01" w:rsidRPr="00AA1A01" w:rsidRDefault="00AA1A01" w:rsidP="00AA1A01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AA1A01">
        <w:rPr>
          <w:rFonts w:ascii="Calibri" w:eastAsia="Times New Roman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13B14A5F" wp14:editId="76AE822A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750077912" name="Slika 5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5B549" w14:textId="77777777" w:rsidR="00AA1A01" w:rsidRPr="00AA1A01" w:rsidRDefault="00AA1A01" w:rsidP="00AA1A0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REPUBLIKA HRVATSKA</w:t>
      </w:r>
    </w:p>
    <w:p w14:paraId="7CA8A92D" w14:textId="77777777" w:rsidR="00AA1A01" w:rsidRPr="00AA1A01" w:rsidRDefault="00AA1A01" w:rsidP="00AA1A0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DJEČJI VRTIĆ REGOČ </w:t>
      </w:r>
    </w:p>
    <w:p w14:paraId="6D6F26B2" w14:textId="77777777" w:rsidR="00AA1A01" w:rsidRPr="00AA1A01" w:rsidRDefault="00AA1A01" w:rsidP="00AA1A0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</w:p>
    <w:p w14:paraId="5C2C6489" w14:textId="77777777" w:rsidR="00AA1A01" w:rsidRPr="00AA1A01" w:rsidRDefault="00AA1A01" w:rsidP="00AA1A0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Braće Radić 15 b, 32276 Babina Greda</w:t>
      </w:r>
    </w:p>
    <w:p w14:paraId="27741F67" w14:textId="189D8C07" w:rsidR="00AA1A01" w:rsidRPr="00AA1A01" w:rsidRDefault="00AA1A01" w:rsidP="00AA1A01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2CE58C2F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KLASA:  400-02/24-01/01 </w:t>
      </w:r>
    </w:p>
    <w:p w14:paraId="7D3FB1C6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URBROJ: 2196-7-1-02-24-1</w:t>
      </w:r>
    </w:p>
    <w:p w14:paraId="0F93FCCF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  <w:r w:rsidRPr="00AA1A01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, </w:t>
      </w:r>
      <w:r w:rsidRPr="00AA1A01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21.02.2024.</w:t>
      </w:r>
    </w:p>
    <w:p w14:paraId="3B5638B0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5C98735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  <w:r w:rsidRPr="00AA1A01">
        <w:rPr>
          <w:rFonts w:ascii="Calibri" w:eastAsia="Times New Roman" w:hAnsi="Calibri" w:cs="Times New Roman"/>
          <w:noProof/>
          <w:kern w:val="0"/>
          <w14:ligatures w14:val="none"/>
        </w:rPr>
        <w:t xml:space="preserve">Predmet: </w:t>
      </w:r>
      <w:r w:rsidRPr="00AA1A01"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  <w:t>GODIŠNJE IZVJEŠĆE O IZVRŠENJU FINANCIJSKOG PLANA ZA 2023.</w:t>
      </w:r>
    </w:p>
    <w:p w14:paraId="4F550333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</w:p>
    <w:p w14:paraId="0B689A9D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Calibri"/>
          <w14:ligatures w14:val="none"/>
        </w:rPr>
        <w:t xml:space="preserve">Temeljem članka 81. i članka 86. Zakona o proračunu (Narodne novine br. 144/21) i članka 45. Statuta Dječjeg vrtića Regoč Babina Greda Upravno vijeće Dječjeg vrtića Regoč Babina Greda donosi: </w:t>
      </w:r>
    </w:p>
    <w:p w14:paraId="47003FC4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Calibri"/>
          <w14:ligatures w14:val="none"/>
        </w:rPr>
      </w:pPr>
    </w:p>
    <w:p w14:paraId="6F9B2E06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AA1A01">
        <w:rPr>
          <w:rFonts w:ascii="Calibri" w:eastAsia="Times New Roman" w:hAnsi="Calibri" w:cs="Calibri"/>
          <w:b/>
          <w:bCs/>
          <w14:ligatures w14:val="none"/>
        </w:rPr>
        <w:t xml:space="preserve">GODIŠNJI IZVJEŠTAJ O IZVRŠENJU FINANCIJSKOG PLANA </w:t>
      </w:r>
    </w:p>
    <w:p w14:paraId="2F4184A2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AA1A01">
        <w:rPr>
          <w:rFonts w:ascii="Calibri" w:eastAsia="Times New Roman" w:hAnsi="Calibri" w:cs="Calibri"/>
          <w:b/>
          <w:bCs/>
          <w14:ligatures w14:val="none"/>
        </w:rPr>
        <w:t xml:space="preserve">DJEČJEG VRTIĆA REGOČ BABINA GREDA </w:t>
      </w:r>
    </w:p>
    <w:p w14:paraId="7F89F66A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AA1A01">
        <w:rPr>
          <w:rFonts w:ascii="Calibri" w:eastAsia="Times New Roman" w:hAnsi="Calibri" w:cs="Calibri"/>
          <w:b/>
          <w:bCs/>
          <w14:ligatures w14:val="none"/>
        </w:rPr>
        <w:t>ZA 2023. GODINU</w:t>
      </w:r>
    </w:p>
    <w:p w14:paraId="6ABF5038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</w:p>
    <w:p w14:paraId="48755D2B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Calibri"/>
          <w14:ligatures w14:val="none"/>
        </w:rPr>
        <w:t>Članak 1.</w:t>
      </w:r>
    </w:p>
    <w:p w14:paraId="598418E1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Calibri"/>
          <w14:ligatures w14:val="none"/>
        </w:rPr>
        <w:t>Godišnji izvještaj o izvršenju financijskog plana Dječjeg vrtića Regoč Babina Greda za 2023. godinu sadrži:</w:t>
      </w:r>
    </w:p>
    <w:p w14:paraId="3BBB5CE9" w14:textId="77777777" w:rsidR="00AA1A01" w:rsidRPr="00AA1A01" w:rsidRDefault="00AA1A01" w:rsidP="00AA1A01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14:ligatures w14:val="none"/>
        </w:rPr>
      </w:pPr>
      <w:r w:rsidRPr="00AA1A01">
        <w:rPr>
          <w:rFonts w:ascii="Calibri" w:eastAsia="Times New Roman" w:hAnsi="Calibri" w:cs="Calibri"/>
          <w:b/>
          <w:bCs/>
          <w14:ligatures w14:val="none"/>
        </w:rPr>
        <w:t>OPĆI DIO FINANCIJSKOG PLANA</w:t>
      </w:r>
    </w:p>
    <w:p w14:paraId="1DE82313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Calibri"/>
          <w:b/>
          <w:bCs/>
          <w14:ligatures w14:val="none"/>
        </w:rPr>
      </w:pPr>
      <w:r w:rsidRPr="00AA1A01">
        <w:rPr>
          <w:rFonts w:ascii="Calibri" w:eastAsia="Times New Roman" w:hAnsi="Calibri" w:cs="Calibri"/>
          <w:b/>
          <w:bCs/>
          <w14:ligatures w14:val="none"/>
        </w:rPr>
        <w:t>PRIHODI: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28"/>
        <w:gridCol w:w="767"/>
        <w:gridCol w:w="3156"/>
        <w:gridCol w:w="1402"/>
        <w:gridCol w:w="1541"/>
        <w:gridCol w:w="1370"/>
      </w:tblGrid>
      <w:tr w:rsidR="00AA1A01" w:rsidRPr="00AA1A01" w14:paraId="203E3115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64DD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61F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EF9E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F0A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FF35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OSTVARENO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C91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POSTOTAK</w:t>
            </w:r>
          </w:p>
        </w:tc>
      </w:tr>
      <w:tr w:rsidR="00AA1A01" w:rsidRPr="00AA1A01" w14:paraId="20FC9ABE" w14:textId="77777777" w:rsidTr="00D42A88">
        <w:trPr>
          <w:trHeight w:val="4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000080"/>
            <w:vAlign w:val="bottom"/>
            <w:hideMark/>
          </w:tcPr>
          <w:p w14:paraId="0CEDBA6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 000 PRIHODI I PRIMICI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80"/>
            <w:vAlign w:val="bottom"/>
            <w:hideMark/>
          </w:tcPr>
          <w:p w14:paraId="1715287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80"/>
            <w:vAlign w:val="bottom"/>
            <w:hideMark/>
          </w:tcPr>
          <w:p w14:paraId="21BCFF7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80"/>
            <w:vAlign w:val="bottom"/>
            <w:hideMark/>
          </w:tcPr>
          <w:p w14:paraId="6AA0791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275.133,69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80"/>
            <w:vAlign w:val="bottom"/>
            <w:hideMark/>
          </w:tcPr>
          <w:p w14:paraId="2951C4B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275.265,96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80"/>
            <w:vAlign w:val="bottom"/>
            <w:hideMark/>
          </w:tcPr>
          <w:p w14:paraId="40F563A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5D86286E" w14:textId="77777777" w:rsidTr="00D42A88">
        <w:trPr>
          <w:trHeight w:val="117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bottom"/>
            <w:hideMark/>
          </w:tcPr>
          <w:p w14:paraId="15C930C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 00003 PRIHODI I PRIMICI - DJEČJI VRTIĆ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bottom"/>
            <w:hideMark/>
          </w:tcPr>
          <w:p w14:paraId="6261469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bottom"/>
            <w:hideMark/>
          </w:tcPr>
          <w:p w14:paraId="48DEECB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bottom"/>
            <w:hideMark/>
          </w:tcPr>
          <w:p w14:paraId="2B2B459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275.133,69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bottom"/>
            <w:hideMark/>
          </w:tcPr>
          <w:p w14:paraId="3618FB3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275.265,96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0000FF"/>
            <w:vAlign w:val="bottom"/>
            <w:hideMark/>
          </w:tcPr>
          <w:p w14:paraId="776AF6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17680628" w14:textId="77777777" w:rsidTr="00D42A88">
        <w:trPr>
          <w:trHeight w:val="10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EC9FF3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1.1. Opći prihodi i primici - PK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650D97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6B3871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051730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181.022,39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FB714A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181.023,55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D9F680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103094CD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0E60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4740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4FFB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23BD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181.022,39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F4B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181.023,55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B75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53092A8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9356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3258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2CBB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od imovine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CE24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262C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3B4E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189%</w:t>
            </w:r>
          </w:p>
        </w:tc>
      </w:tr>
      <w:tr w:rsidR="00AA1A01" w:rsidRPr="00AA1A01" w14:paraId="04679A5B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7177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C014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641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AD57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od financijske imovine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D198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9AA0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BF7A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189%</w:t>
            </w:r>
          </w:p>
        </w:tc>
      </w:tr>
      <w:tr w:rsidR="00AA1A01" w:rsidRPr="00AA1A01" w14:paraId="475BCCFB" w14:textId="77777777" w:rsidTr="00D42A88">
        <w:trPr>
          <w:trHeight w:val="161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957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P0044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8073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64132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89D3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Kamate na depozite po viđenju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5477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6D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DC5D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189%</w:t>
            </w:r>
          </w:p>
        </w:tc>
      </w:tr>
      <w:tr w:rsidR="00AA1A01" w:rsidRPr="00AA1A01" w14:paraId="37637B52" w14:textId="77777777" w:rsidTr="00D42A88">
        <w:trPr>
          <w:trHeight w:val="35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870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0338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3C1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iz nadležnog proračuna I od HZZO-a tem. ugovornih obaveza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AA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181.021,08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056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181.021,08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4126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194FA57" w14:textId="77777777" w:rsidTr="00D42A88">
        <w:trPr>
          <w:trHeight w:val="36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EDA9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EE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6711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FA2B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iz nadležnog proračuna za financiranje rashoda poslovanja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1563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181.021,08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6384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181.021,08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8E42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16B231CD" w14:textId="77777777" w:rsidTr="00D42A88">
        <w:trPr>
          <w:trHeight w:val="229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BD7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3A3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67111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86FA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Prihodi za financiranje rashoda poslovanja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5C8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181.021,08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7535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181.021,08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7E6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077E113F" w14:textId="77777777" w:rsidTr="00D42A88">
        <w:trPr>
          <w:trHeight w:val="86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D2D4D0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2.2. Vlastiti prihodi - PK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5DF0F14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F65855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4BA26A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46B08F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77.201,51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9442CF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52E5F63F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847A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07F4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F521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C00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DC8A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77.201,51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79A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07180C45" w14:textId="77777777" w:rsidTr="00D42A88">
        <w:trPr>
          <w:trHeight w:val="93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4BD0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4B63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714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BE3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8E1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77.201,51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194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184F2183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B78D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149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652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E9C5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po posebnim propisima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045C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2393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77.201,51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9BCD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7675DB51" w14:textId="77777777" w:rsidTr="00D42A88">
        <w:trPr>
          <w:trHeight w:val="34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54D0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P0045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9908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65264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9D28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Sufinanciranje cijene usluge, participacije i slično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F205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8C7E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77.201,51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C7F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1DB1D076" w14:textId="77777777" w:rsidTr="00D42A88">
        <w:trPr>
          <w:trHeight w:val="4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26BA00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4.2. Pomoći - PK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15E7BC5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62FF5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8E1385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16.261,56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33B97E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16.007,96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03F768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98%</w:t>
            </w:r>
          </w:p>
        </w:tc>
      </w:tr>
      <w:tr w:rsidR="00AA1A01" w:rsidRPr="00AA1A01" w14:paraId="78EDDC08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0F0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E87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C1F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81FF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16.261,56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FEDC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16.007,96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907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98%</w:t>
            </w:r>
          </w:p>
        </w:tc>
      </w:tr>
      <w:tr w:rsidR="00AA1A01" w:rsidRPr="00AA1A01" w14:paraId="355752EA" w14:textId="77777777" w:rsidTr="00D42A88">
        <w:trPr>
          <w:trHeight w:val="26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F09D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8EBA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50CC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277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16.261,56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E5C0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16.007,96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DCFB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98%</w:t>
            </w:r>
          </w:p>
        </w:tc>
      </w:tr>
      <w:tr w:rsidR="00AA1A01" w:rsidRPr="00AA1A01" w14:paraId="34EADF32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98E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8A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634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771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Ostale potpore unutar opće države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501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14.456,16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E01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14.456,16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1920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87EBFB3" w14:textId="77777777" w:rsidTr="00D42A88">
        <w:trPr>
          <w:trHeight w:val="293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148C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2867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63414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3A3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Tekuće pomoći od HZMO-a, HZZ-a i HZZO-a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FA9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14.456,16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092E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14.456,16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14E8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5BA114B6" w14:textId="77777777" w:rsidTr="00D42A88">
        <w:trPr>
          <w:trHeight w:val="298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D1F6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8E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636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E87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Pomoći proračunskim korisnicima iz proračuna koji im nije nadležan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2D4E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1.805,40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EBA5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1.551,80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EC74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86%</w:t>
            </w:r>
          </w:p>
        </w:tc>
      </w:tr>
      <w:tr w:rsidR="00AA1A01" w:rsidRPr="00AA1A01" w14:paraId="6F575BF6" w14:textId="77777777" w:rsidTr="00D42A88">
        <w:trPr>
          <w:trHeight w:val="30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4835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P0043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FE97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63611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396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Tekuće pomoći iz državnog proračuna za javne potrebe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DC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1.805,40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1FC5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1.551,80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9EC9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86%</w:t>
            </w:r>
          </w:p>
        </w:tc>
      </w:tr>
      <w:tr w:rsidR="00AA1A01" w:rsidRPr="00AA1A01" w14:paraId="0F8D6D0A" w14:textId="77777777" w:rsidTr="00D42A88">
        <w:trPr>
          <w:trHeight w:val="936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56FE22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5.2. Donacije - PK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043E0B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70F96B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C155E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ACE3F9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56ADC2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6BFDD632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CBF1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AF65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981E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94F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6B34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1.032,94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94AF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7ED7F438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F2EB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08B6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F0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Ostali prihodi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23E6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19C7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1.032,94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D266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48BBB4F5" w14:textId="77777777" w:rsidTr="00D42A88">
        <w:trPr>
          <w:trHeight w:val="251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0F3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595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663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05B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Donacije od pravnih i fizičkih osoba izvan  države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136A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A006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1.032,94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4C8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4A600609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9FEE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402C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66311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CAFD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Tekuće donacije od fizičkih osoba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1BEF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D67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553,64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9467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138%</w:t>
            </w:r>
          </w:p>
        </w:tc>
      </w:tr>
      <w:tr w:rsidR="00AA1A01" w:rsidRPr="00AA1A01" w14:paraId="5D1F0A23" w14:textId="77777777" w:rsidTr="00D42A88">
        <w:trPr>
          <w:trHeight w:val="31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46ED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P0043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492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66313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029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Tekuće donacije trgovačkih društava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564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479,30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3CF2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479,30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F1FA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</w:tbl>
    <w:p w14:paraId="0AD4B5D6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Calibri"/>
          <w14:ligatures w14:val="none"/>
        </w:rPr>
      </w:pPr>
    </w:p>
    <w:p w14:paraId="1D509368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Calibri"/>
          <w:b/>
          <w:bCs/>
          <w14:ligatures w14:val="none"/>
        </w:rPr>
      </w:pPr>
      <w:r w:rsidRPr="00AA1A01">
        <w:rPr>
          <w:rFonts w:ascii="Calibri" w:eastAsia="Times New Roman" w:hAnsi="Calibri" w:cs="Calibri"/>
          <w:b/>
          <w:bCs/>
          <w14:ligatures w14:val="none"/>
        </w:rPr>
        <w:t>RASHODI: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038"/>
        <w:gridCol w:w="940"/>
        <w:gridCol w:w="2233"/>
        <w:gridCol w:w="1418"/>
        <w:gridCol w:w="1559"/>
        <w:gridCol w:w="1276"/>
      </w:tblGrid>
      <w:tr w:rsidR="00AA1A01" w:rsidRPr="00AA1A01" w14:paraId="49BD5A77" w14:textId="77777777" w:rsidTr="00D42A88">
        <w:trPr>
          <w:trHeight w:val="70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CD4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POZICIJA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139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BROJ </w:t>
            </w: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br/>
              <w:t>KONTA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ABE6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VRSTA PRIHODA / PRIMITAKA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67B5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 xml:space="preserve">PLANIRANO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7566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OSTVARENO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9BEE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POSTOTAK</w:t>
            </w:r>
          </w:p>
        </w:tc>
      </w:tr>
      <w:tr w:rsidR="00AA1A01" w:rsidRPr="00AA1A01" w14:paraId="5402A7D7" w14:textId="77777777" w:rsidTr="00D42A88">
        <w:trPr>
          <w:trHeight w:val="3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80" w:fill="002060"/>
            <w:vAlign w:val="bottom"/>
            <w:hideMark/>
          </w:tcPr>
          <w:p w14:paraId="00446A1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 002 JEDINSTVENI UPRAVNI ODJEL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2060"/>
            <w:vAlign w:val="bottom"/>
            <w:hideMark/>
          </w:tcPr>
          <w:p w14:paraId="5BA5B1B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275.133,69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2060"/>
            <w:vAlign w:val="bottom"/>
            <w:hideMark/>
          </w:tcPr>
          <w:p w14:paraId="7E9EB0E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265.661,26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2060"/>
            <w:vAlign w:val="bottom"/>
            <w:hideMark/>
          </w:tcPr>
          <w:p w14:paraId="28F4D7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97%</w:t>
            </w:r>
          </w:p>
        </w:tc>
      </w:tr>
      <w:tr w:rsidR="00AA1A01" w:rsidRPr="00AA1A01" w14:paraId="0302612D" w14:textId="77777777" w:rsidTr="00D42A88">
        <w:trPr>
          <w:trHeight w:val="3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FF" w:fill="305496"/>
            <w:vAlign w:val="bottom"/>
            <w:hideMark/>
          </w:tcPr>
          <w:p w14:paraId="04EDD27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 00202 PREDŠKOLSKA USTANOVA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305496"/>
            <w:vAlign w:val="bottom"/>
            <w:hideMark/>
          </w:tcPr>
          <w:p w14:paraId="32AF5C7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275.133,69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305496"/>
            <w:vAlign w:val="bottom"/>
            <w:hideMark/>
          </w:tcPr>
          <w:p w14:paraId="0C7B478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265.661,26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305496"/>
            <w:vAlign w:val="bottom"/>
            <w:hideMark/>
          </w:tcPr>
          <w:p w14:paraId="7072E68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97%</w:t>
            </w:r>
          </w:p>
        </w:tc>
      </w:tr>
      <w:tr w:rsidR="00AA1A01" w:rsidRPr="00AA1A01" w14:paraId="659C4D44" w14:textId="77777777" w:rsidTr="00D42A88">
        <w:trPr>
          <w:trHeight w:val="3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66CC" w:fill="3366FF"/>
            <w:vAlign w:val="bottom"/>
            <w:hideMark/>
          </w:tcPr>
          <w:p w14:paraId="0D569B5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Proračunski korisnik 11111 Dječji vrtić "Regoč"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66CC" w:fill="3366FF"/>
            <w:vAlign w:val="bottom"/>
            <w:hideMark/>
          </w:tcPr>
          <w:p w14:paraId="4E9247F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66CC" w:fill="3366FF"/>
            <w:vAlign w:val="bottom"/>
            <w:hideMark/>
          </w:tcPr>
          <w:p w14:paraId="5CDF22F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66CC" w:fill="3366FF"/>
            <w:vAlign w:val="bottom"/>
            <w:hideMark/>
          </w:tcPr>
          <w:p w14:paraId="774D254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A1A01" w:rsidRPr="00AA1A01" w14:paraId="03DB7E6E" w14:textId="77777777" w:rsidTr="00D42A88">
        <w:trPr>
          <w:trHeight w:val="3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666699"/>
            <w:vAlign w:val="bottom"/>
            <w:hideMark/>
          </w:tcPr>
          <w:p w14:paraId="384D0B5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P02 02 JEDINSTVENI UPRAVNI ODJEL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666699"/>
            <w:vAlign w:val="bottom"/>
            <w:hideMark/>
          </w:tcPr>
          <w:p w14:paraId="7EB8AFB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666699"/>
            <w:vAlign w:val="bottom"/>
            <w:hideMark/>
          </w:tcPr>
          <w:p w14:paraId="0E39F8A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666699"/>
            <w:vAlign w:val="bottom"/>
            <w:hideMark/>
          </w:tcPr>
          <w:p w14:paraId="61047A7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A1A01" w:rsidRPr="00AA1A01" w14:paraId="346C6925" w14:textId="77777777" w:rsidTr="00D42A88">
        <w:trPr>
          <w:trHeight w:val="3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99FF" w:fill="9999FF"/>
            <w:vAlign w:val="bottom"/>
            <w:hideMark/>
          </w:tcPr>
          <w:p w14:paraId="168DE8D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00 Javne ustanove predškolskog odgoja i obrazovanja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99FF"/>
            <w:vAlign w:val="bottom"/>
            <w:hideMark/>
          </w:tcPr>
          <w:p w14:paraId="5D2AB11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99FF"/>
            <w:vAlign w:val="bottom"/>
            <w:hideMark/>
          </w:tcPr>
          <w:p w14:paraId="49D8742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99FF"/>
            <w:vAlign w:val="bottom"/>
            <w:hideMark/>
          </w:tcPr>
          <w:p w14:paraId="0FEDE4B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A1A01" w:rsidRPr="00AA1A01" w14:paraId="02BB7C80" w14:textId="77777777" w:rsidTr="00D42A88">
        <w:trPr>
          <w:trHeight w:val="31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CCCCFF"/>
            <w:vAlign w:val="bottom"/>
            <w:hideMark/>
          </w:tcPr>
          <w:p w14:paraId="3E0A856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A100903 Redovna djelatnost predškolske ustanove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14:paraId="34ACE63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14:paraId="6809648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14:paraId="4B61D1D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A1A01" w:rsidRPr="00AA1A01" w14:paraId="51F3BFBB" w14:textId="77777777" w:rsidTr="00D42A88">
        <w:trPr>
          <w:trHeight w:val="677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DA3DCB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 1.1. Opći prihodi i primici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2583F3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E7EEC6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63F7B0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181.022,39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C5F154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181.021,16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6BF3F7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D6F334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F45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BD2D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376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DD0F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69D0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181.021,16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D9D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72FF6E1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BF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E097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E0CF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37D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179.772,39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CAC9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179.771,16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57D2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8816133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FBDF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7F44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2A36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8F7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168.898,40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954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168.897,16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D8E1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A1A1A2B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AAEA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A2C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BE4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Plaće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11F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168.898,40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13B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168.897,16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004E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54DE9FF7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AB93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50E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FD8C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B435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10.873,99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3820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F1D9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74D86D6B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BA17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E512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C605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8F0A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10.873,99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4272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10.874,00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FEF9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3781D98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A86B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F53E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39A7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B7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D3E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83E7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3F7B4467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3497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72FC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6DFD5C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A1F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0A90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1EF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94F0AA9" w14:textId="77777777" w:rsidTr="00D42A88">
        <w:trPr>
          <w:trHeight w:val="6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C04D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F19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DE6B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Usluge tekućeg i investicijskog održavanja postrojenja i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9423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F01B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98D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7C2D606" w14:textId="77777777" w:rsidTr="00D42A88">
        <w:trPr>
          <w:trHeight w:val="58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858CDF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2.2. Vlastiti prihodi - PK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1E224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5BA586E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835B43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F4ED64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78.876,12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E8036C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102%</w:t>
            </w:r>
          </w:p>
        </w:tc>
      </w:tr>
      <w:tr w:rsidR="00AA1A01" w:rsidRPr="00AA1A01" w14:paraId="0012DFA2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7A9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01D7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628D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305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76.970,44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180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78.876,12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745F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102%</w:t>
            </w:r>
          </w:p>
        </w:tc>
      </w:tr>
      <w:tr w:rsidR="00AA1A01" w:rsidRPr="00AA1A01" w14:paraId="2CC137F8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FC5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F2D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C24F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2C3F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AE7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1B1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AC6D901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CED4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870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68B5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BFE6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C0DB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CE6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2FA1A032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FD80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38A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A0E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Plaće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ED5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9422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C749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48ADEC3B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68B61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C31D6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EFCA92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DF14F6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D7FD1F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0AA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5D81A92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C706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A2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31219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A663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Ostali nenavedeni rashodi za zaposlene (neoprezivi primici)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1367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8.350,00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4045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80E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561310A2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01CE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40F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2CBE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08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67.997,64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AB1A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69.884,08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628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AA1A01" w:rsidRPr="00AA1A01" w14:paraId="4C791064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471F6E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31A1D3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BE089C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01237E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7.991,25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5F6D9E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7.542,90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255F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94%</w:t>
            </w:r>
          </w:p>
        </w:tc>
      </w:tr>
      <w:tr w:rsidR="00AA1A01" w:rsidRPr="00AA1A01" w14:paraId="3C847D6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6AB7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DA81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721E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Dnevnice za službeni put u zemlji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50D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9000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ED2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7030C47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C097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4491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32115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5B56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Naknade za prijevoz na službenom putu u zemlji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F2E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CA61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CAB3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1CEEB51D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6D6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74C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0920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Naknade za prijevoz na posao i s posla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F7B2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5.576,41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441C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5.359,06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BB15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96%</w:t>
            </w:r>
          </w:p>
        </w:tc>
      </w:tr>
      <w:tr w:rsidR="00AA1A01" w:rsidRPr="00AA1A01" w14:paraId="6C511DB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6EBF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6E8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32131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C901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Seminari, savjetovanja i simpoziji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FF88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951,98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F164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6B8E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B0B8111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93A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27BB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32132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077B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Tečajevi i stručni ispiti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E753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697,26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73A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8C21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67%</w:t>
            </w:r>
          </w:p>
        </w:tc>
      </w:tr>
      <w:tr w:rsidR="00AA1A01" w:rsidRPr="00AA1A01" w14:paraId="75E02EE0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3633B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0E6AF7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CE584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C1345A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32.956,51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A6463F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33.882,07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14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AA1A01" w:rsidRPr="00AA1A01" w14:paraId="42995178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338F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43A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95B6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Uredski materijal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429F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A3DA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2.855,27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BD22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106%</w:t>
            </w:r>
          </w:p>
        </w:tc>
      </w:tr>
      <w:tr w:rsidR="00AA1A01" w:rsidRPr="00AA1A01" w14:paraId="3F3F7C7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750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175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DAA2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Literatura (publikacije, časopisi, glasila, knjige i ostalo)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167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330,28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CE3D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330,28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C4C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062851A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7360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07EF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47E9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Materijal i sredstva za čišćenje i održavanje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1B3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0F1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3.386,07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FBC5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97%</w:t>
            </w:r>
          </w:p>
        </w:tc>
      </w:tr>
      <w:tr w:rsidR="00AA1A01" w:rsidRPr="00AA1A01" w14:paraId="21CD7366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178F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A7AE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94A8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Ostali materijal za potrebe redovnog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D04B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BD5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7C42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76482B55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0D85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9262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8784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Igračke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A659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1.307,03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895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1.307,03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581F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96461FF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3621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6590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2517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Namirnice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CEA2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21.133,62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A39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21.748,14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5D8A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AA1A01" w:rsidRPr="00AA1A01" w14:paraId="5F62A2F3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02E6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028A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CB0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0AD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2833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1B0A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104%</w:t>
            </w:r>
          </w:p>
        </w:tc>
      </w:tr>
      <w:tr w:rsidR="00AA1A01" w:rsidRPr="00AA1A01" w14:paraId="7928B4D2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22B8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CBF6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62D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Materijal i dijelovi za tekuće i investicijsko održavanje postrojenja i opreme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567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8E3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333,37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4A70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A7E1BFB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DD11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B32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5B2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Uređenje okoliša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C52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182,97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73A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ABB3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6658F8F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4399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FB5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4BB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Sitni inventar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D480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1.904,36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3C7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1.904,36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78DD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0878DB30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4451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8A8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0049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C5E7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755,86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0A4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1.000,11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996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132%</w:t>
            </w:r>
          </w:p>
        </w:tc>
      </w:tr>
      <w:tr w:rsidR="00AA1A01" w:rsidRPr="00AA1A01" w14:paraId="05EE14F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F7D80F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CC8D32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F5A4A9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5EBD27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25.311,33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2F578F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24.815,28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D965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98%</w:t>
            </w:r>
          </w:p>
        </w:tc>
      </w:tr>
      <w:tr w:rsidR="00AA1A01" w:rsidRPr="00AA1A01" w14:paraId="0778378F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76E3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C4B6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D8A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Usluge telefona, telefaksa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572E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658,42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517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17E5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105%</w:t>
            </w:r>
          </w:p>
        </w:tc>
      </w:tr>
      <w:tr w:rsidR="00AA1A01" w:rsidRPr="00AA1A01" w14:paraId="010D9DA6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810A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079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366A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Poštarina (pisma, tiskanice i sl.)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C1E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F49C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D499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101%</w:t>
            </w:r>
          </w:p>
        </w:tc>
      </w:tr>
      <w:tr w:rsidR="00AA1A01" w:rsidRPr="00AA1A01" w14:paraId="30C6BEDB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90B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AB2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C10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Usluge tekućeg i investicijskog održavanja građevinskih objekata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8400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3.039,01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C597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90F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0%</w:t>
            </w:r>
          </w:p>
        </w:tc>
      </w:tr>
      <w:tr w:rsidR="00AA1A01" w:rsidRPr="00AA1A01" w14:paraId="41EF495D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4B0F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5364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090D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Usluge tekućeg i investicijskog održavanja postrojenja i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09D4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DC61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3.039,01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469E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45FA985D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403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33AA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CFD7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Ostale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9DC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587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6111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65A1F668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0F0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1B1A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8FDE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Opskrba vodom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2580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799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1.091,19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69E4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95%</w:t>
            </w:r>
          </w:p>
        </w:tc>
      </w:tr>
      <w:tr w:rsidR="00AA1A01" w:rsidRPr="00AA1A01" w14:paraId="6D68814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E8F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44F3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05BC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Iznošenje i odvoz smeća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ED1B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1.363,20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383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1.135,71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8858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83%</w:t>
            </w:r>
          </w:p>
        </w:tc>
      </w:tr>
      <w:tr w:rsidR="00AA1A01" w:rsidRPr="00AA1A01" w14:paraId="1A97ECB0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5279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F8D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32349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41FC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Ostale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432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9492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2.310,00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06C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92%</w:t>
            </w:r>
          </w:p>
        </w:tc>
      </w:tr>
      <w:tr w:rsidR="00AA1A01" w:rsidRPr="00AA1A01" w14:paraId="45FFCA08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FD5D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2A6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46AE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Obvezni i preventivni zdravstveni pregledi zaposlenika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6929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606,99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3515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3B12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2176081E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67CD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FCEC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B474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 xml:space="preserve">Veterinarske usluge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A8EF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AF71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1.065,27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6F08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96%</w:t>
            </w:r>
          </w:p>
        </w:tc>
      </w:tr>
      <w:tr w:rsidR="00AA1A01" w:rsidRPr="00AA1A01" w14:paraId="703CC14E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22CA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806F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32363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10F9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Laboratorijske usluge (brisevi, uzorci...)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30F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BD1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4A50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11F5F383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0C89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C416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32372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6635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Ugovori o djelu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CCBC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8.265,31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36C3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8.265,47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B2D4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59565E3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BAAD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5505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32379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91FA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Knjigovodstvene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47E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5.640,00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F4B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5.640,00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A492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0A2E7358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99BD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F0A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32389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93D8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Ostale 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AAF2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F153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E682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99%</w:t>
            </w:r>
          </w:p>
        </w:tc>
      </w:tr>
      <w:tr w:rsidR="00AA1A01" w:rsidRPr="00AA1A01" w14:paraId="41F3AF6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9BE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9022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32391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54B9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Grafičke i tiskarske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D87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B1E2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1C4B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7DEC505D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C9D4BA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96D015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5D94A1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BFCF66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1.738,55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285AC4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3.643,83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EF7F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210%</w:t>
            </w:r>
          </w:p>
        </w:tc>
      </w:tr>
      <w:tr w:rsidR="00AA1A01" w:rsidRPr="00AA1A01" w14:paraId="1CE01E3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DD40D7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B15C76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32911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D8EA7C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Naknade članovima predstavničkih i izvršnih tijela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4C791E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7341FA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E5A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518BE29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CF4B0B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22D7E2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32923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64CA3A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Premije osiguranja zaposlenih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52F64E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63F024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8450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34D427A7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E80DA0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0382AB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32924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5CB539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Polica odgovornosti za vrtić - javna odgovornost prema trećim osobama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451DE8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3D1EC6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6263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43EA76C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A02033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A413A4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32931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364A61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7443EA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0239FD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911B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22BC01B6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C429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0D9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32999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B7A6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2D17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1.477,55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00E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1.639,72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F423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111%</w:t>
            </w:r>
          </w:p>
        </w:tc>
      </w:tr>
      <w:tr w:rsidR="00AA1A01" w:rsidRPr="00AA1A01" w14:paraId="3DB3372A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72C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A64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491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78C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7B8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8048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AA1A01" w:rsidRPr="00AA1A01" w14:paraId="25405116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F582AF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474FE0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7412FA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ACDD17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54EA8E9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DED9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AA1A01" w:rsidRPr="00AA1A01" w14:paraId="0AAD170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784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B34D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34312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6A9D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D9A0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BF0D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642,04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353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103%</w:t>
            </w:r>
          </w:p>
        </w:tc>
      </w:tr>
      <w:tr w:rsidR="00AA1A01" w:rsidRPr="00AA1A01" w14:paraId="53CE3239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738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27C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EF5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3AA2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3EF9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4D2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2B5602E3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8DF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639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85A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E2C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27E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0F4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295BABA2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DB982E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0DE9EF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7866B6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AD28B3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A334CB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E80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6FB40E95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438F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869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42211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E01B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Računala i računalna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38F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0CDF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6DE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#DIV/0!</w:t>
            </w:r>
          </w:p>
        </w:tc>
      </w:tr>
      <w:tr w:rsidR="00AA1A01" w:rsidRPr="00AA1A01" w14:paraId="4F811788" w14:textId="77777777" w:rsidTr="00D42A88">
        <w:trPr>
          <w:trHeight w:val="50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69A057E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4.2. Pomoći - PK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758F07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3A0CE96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1C620F4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16.261,56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78F0AC8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4.731,50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4175E1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29%</w:t>
            </w:r>
          </w:p>
        </w:tc>
      </w:tr>
      <w:tr w:rsidR="00AA1A01" w:rsidRPr="00AA1A01" w14:paraId="24B4A48E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0965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3A06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E713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B30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16.261,56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3288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4.731,50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943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29%</w:t>
            </w:r>
          </w:p>
        </w:tc>
      </w:tr>
      <w:tr w:rsidR="00AA1A01" w:rsidRPr="00AA1A01" w14:paraId="6991A0A0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9E7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4FD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DE5E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A10A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13.384,32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D8C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2.708,75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FD8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3841A415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BFFF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07B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A35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917D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11.488,68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5776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2.325,11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205B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33618167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07D5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3A6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31111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BE8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Plaće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D712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11.488,68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9CDD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2.325,11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81B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0590AA4F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E09E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FF48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4F60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1E3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1.895,64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8171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B0D7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7C0764E7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59E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F345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31321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8473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0359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1.895,64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8EF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5A8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7000B614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ED0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FE9C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9498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64A7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2.877,24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4DD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2.022,75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EC53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70%</w:t>
            </w:r>
          </w:p>
        </w:tc>
      </w:tr>
      <w:tr w:rsidR="00AA1A01" w:rsidRPr="00AA1A01" w14:paraId="7753A6ED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1B1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5A7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EF0EB7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5F25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1.071,84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F0A1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1D77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1D202EBF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7C2DD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B805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82EB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Naknade za prijevoz na posao i s posla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55F3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1.071,84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FCD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217,35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A12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20%</w:t>
            </w:r>
          </w:p>
        </w:tc>
      </w:tr>
      <w:tr w:rsidR="00AA1A01" w:rsidRPr="00AA1A01" w14:paraId="4600326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E1AE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B98C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15B1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170A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1.805,40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B9FF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1.805,40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C24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6E4B5DE7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B27E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6E4D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60C1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Uredski materijal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64C1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1.805,40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4C3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1.805,40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140B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100%</w:t>
            </w:r>
          </w:p>
        </w:tc>
      </w:tr>
      <w:tr w:rsidR="00AA1A01" w:rsidRPr="00AA1A01" w14:paraId="713AD225" w14:textId="77777777" w:rsidTr="00D42A88">
        <w:trPr>
          <w:trHeight w:val="936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5C5E491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 5.2. Donacije - PK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282635F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5CF048C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925A9A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04EB3D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14:paraId="4FA111F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0CF69091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89CD61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3CE2BE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77B8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D387ACE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ACBE3B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AEBA3C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7FCDEBEE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A14AF8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369F290F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6FBD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82752D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07A1309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DD1AC5B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2BB96360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9E1179A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B533873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2A974E2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69F5EB86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1A59636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72471339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  <w:tr w:rsidR="00AA1A01" w:rsidRPr="00AA1A01" w14:paraId="03C15E1C" w14:textId="77777777" w:rsidTr="00D42A88">
        <w:trPr>
          <w:trHeight w:val="312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227C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R0197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5A2E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32999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71FB5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83E87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879,30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3C584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kern w:val="0"/>
                <w:sz w:val="16"/>
                <w:szCs w:val="16"/>
                <w:lang w:eastAsia="hr-HR"/>
                <w14:ligatures w14:val="none"/>
              </w:rPr>
              <w:t>1.032,48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2ADD3830" w14:textId="77777777" w:rsidR="00AA1A01" w:rsidRPr="00AA1A01" w:rsidRDefault="00AA1A01" w:rsidP="00AA1A0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A1A0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117%</w:t>
            </w:r>
          </w:p>
        </w:tc>
      </w:tr>
    </w:tbl>
    <w:p w14:paraId="2C441564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Calibri"/>
          <w14:ligatures w14:val="none"/>
        </w:rPr>
      </w:pPr>
    </w:p>
    <w:p w14:paraId="4AF5602A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Calibri"/>
          <w14:ligatures w14:val="none"/>
        </w:rPr>
        <w:t>Članak 2.</w:t>
      </w:r>
    </w:p>
    <w:p w14:paraId="427705FF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Calibri"/>
          <w14:ligatures w14:val="none"/>
        </w:rPr>
        <w:t xml:space="preserve">Uz opći dio financijskog plana, godišnji izvještaj o izvršenju financijskog plana sadrži i obrazloženje godišnjeg izvještaja o izvršenju financijskog, a sadrži: </w:t>
      </w:r>
    </w:p>
    <w:p w14:paraId="6B2DE033" w14:textId="77777777" w:rsidR="00AA1A01" w:rsidRPr="00AA1A01" w:rsidRDefault="00AA1A01" w:rsidP="00AA1A01">
      <w:pPr>
        <w:numPr>
          <w:ilvl w:val="0"/>
          <w:numId w:val="35"/>
        </w:numPr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A1A01">
        <w:rPr>
          <w:rFonts w:ascii="Calibri" w:eastAsia="Times New Roman" w:hAnsi="Calibri" w:cs="Calibri"/>
          <w:b/>
          <w:bCs/>
          <w:kern w:val="0"/>
          <w14:ligatures w14:val="none"/>
        </w:rPr>
        <w:t>OBRAZLOŽENJE OPĆEG DIJELA IZVJEŠTAJA O IZVRŠENJU FINANCIJSKOG PLANA SADRŽI</w:t>
      </w:r>
    </w:p>
    <w:p w14:paraId="59FEF930" w14:textId="77777777" w:rsidR="00AA1A01" w:rsidRPr="00AA1A01" w:rsidRDefault="00AA1A01" w:rsidP="00AA1A01">
      <w:pPr>
        <w:numPr>
          <w:ilvl w:val="0"/>
          <w:numId w:val="36"/>
        </w:numPr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A1A01">
        <w:rPr>
          <w:rFonts w:ascii="Calibri" w:eastAsia="Times New Roman" w:hAnsi="Calibri" w:cs="Calibri"/>
          <w:b/>
          <w:bCs/>
          <w:kern w:val="0"/>
          <w14:ligatures w14:val="none"/>
        </w:rPr>
        <w:t>OBRAZLOŽENJE OSTVARENIH PRIHODA I RASHODA, PRIMITAKA I IZDATAKA</w:t>
      </w:r>
    </w:p>
    <w:p w14:paraId="25AA9F99" w14:textId="77777777" w:rsidR="00AA1A01" w:rsidRPr="00AA1A01" w:rsidRDefault="00AA1A01" w:rsidP="00AA1A01">
      <w:pPr>
        <w:spacing w:line="360" w:lineRule="auto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AA1A01">
        <w:rPr>
          <w:rFonts w:ascii="Calibri" w:eastAsia="Times New Roman" w:hAnsi="Calibri" w:cs="Calibri"/>
          <w:b/>
          <w:bCs/>
          <w:kern w:val="0"/>
          <w14:ligatures w14:val="none"/>
        </w:rPr>
        <w:t>PRIHODI:</w:t>
      </w:r>
    </w:p>
    <w:p w14:paraId="1DB97F69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>Prihodi poslovanja u 2023. godini iznose 275.265,96 €. Prihodi su u najvećoj mjeri ostvareni iz nadležnog proračuna osnivača za financiranje rashoda poslovanja te od sufinanciranja participacije za boravak djece, u 2023. godini ostvareno je i 16.007,96 € tekućih pomoći, od čega se 14.456,16 € odnosi na sufinanciranje troškova plaće pripravnice od strane HZZ-a, a također je ostvareno i 1.032,94 € tekućih donacija od pravnih i fizičkih osoba.</w:t>
      </w:r>
    </w:p>
    <w:p w14:paraId="705995EA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</w:p>
    <w:p w14:paraId="37D929BE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0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0"/>
          <w:lang w:eastAsia="zh-CN"/>
          <w14:ligatures w14:val="none"/>
        </w:rPr>
        <w:lastRenderedPageBreak/>
        <w:t>Prihodi su u odnosu na 2022. godinu porasli za 1,311 puta iako je prihod za participaciju djece u vrtiću manji nego 2022. godine i to za 20-ak %, prihodi su porasli ponajviše zbog rasta plaća i novih zapošljavanja djelatnika čime se automatski povećavaju prihodi za financiranje rashoda poslovanja.</w:t>
      </w:r>
    </w:p>
    <w:p w14:paraId="2123420E" w14:textId="45AA1561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noProof/>
          <w:kern w:val="3"/>
          <w:lang w:eastAsia="zh-CN" w:bidi="hi-IN"/>
          <w14:ligatures w14:val="none"/>
        </w:rPr>
        <w:drawing>
          <wp:inline distT="0" distB="0" distL="0" distR="0" wp14:anchorId="01DD9903" wp14:editId="55CDFCA8">
            <wp:extent cx="5600700" cy="1920240"/>
            <wp:effectExtent l="0" t="0" r="0" b="3810"/>
            <wp:docPr id="45538580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D95E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</w:p>
    <w:p w14:paraId="6F04D385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b/>
          <w:bCs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b/>
          <w:bCs/>
          <w:kern w:val="3"/>
          <w:lang w:eastAsia="zh-CN"/>
          <w14:ligatures w14:val="none"/>
        </w:rPr>
        <w:t>RASHODI:</w:t>
      </w:r>
    </w:p>
    <w:p w14:paraId="2733967F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 xml:space="preserve">Rashodi poslovanja u 2023. godini iznose 265.661,26 €. </w:t>
      </w:r>
    </w:p>
    <w:p w14:paraId="01213F50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>Najvećim dijelom rashodi se odnose na rashode za zaposlene koji su gotovo 72 % ukupnih rashoda poslovanja.</w:t>
      </w:r>
    </w:p>
    <w:p w14:paraId="738683E0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>Namirnice za prehranu djece u 2023. godini su iznosile 21.748,14 € što je oko 8% ukupnih rashoda poslovanja, što je na istoj razini kao i prethodne godine.</w:t>
      </w:r>
    </w:p>
    <w:p w14:paraId="0A7E21D7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>Ostali rashodi se odnose najvećim dijelom na materijalne rashode koji su se zanemarivo povećali, bez obzira na visoku stopu inflacije.</w:t>
      </w:r>
    </w:p>
    <w:p w14:paraId="23E4DEB1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>Ukupni rashodi u 2023. su 1,193 puta veći nego u 2022. godini, najveći razlog tomu je povećanje broja zaposlenih uz povećanje osnovice za izračun plaće djelatnicima u toku godine.</w:t>
      </w:r>
    </w:p>
    <w:p w14:paraId="1E3FFEE0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</w:p>
    <w:p w14:paraId="1821914C" w14:textId="7AECF026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noProof/>
          <w:kern w:val="3"/>
          <w:lang w:eastAsia="zh-CN" w:bidi="hi-IN"/>
          <w14:ligatures w14:val="none"/>
        </w:rPr>
        <w:lastRenderedPageBreak/>
        <w:drawing>
          <wp:inline distT="0" distB="0" distL="0" distR="0" wp14:anchorId="2D43AD68" wp14:editId="533387C8">
            <wp:extent cx="5326380" cy="4457700"/>
            <wp:effectExtent l="0" t="0" r="7620" b="0"/>
            <wp:docPr id="114313297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D3BE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  <w:r w:rsidRPr="00AA1A01">
        <w:rPr>
          <w:rFonts w:ascii="Calibri" w:eastAsia="Times New Roman" w:hAnsi="Calibri" w:cs="Times New Roman"/>
          <w:b/>
          <w:bCs/>
          <w14:ligatures w14:val="none"/>
        </w:rPr>
        <w:t xml:space="preserve">2. OBRAZLOŽENJE PRIJENOSA SREDSTAVA IZ PRETHODNE GODINE </w:t>
      </w:r>
    </w:p>
    <w:p w14:paraId="71FB16A2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Dječji vrtić Regoč Babina Greda u ovom izvještajnom razdoblju ostvario je ukupno </w:t>
      </w:r>
      <w:r w:rsidRPr="00AA1A01">
        <w:rPr>
          <w:rFonts w:ascii="Calibri" w:eastAsia="Times New Roman" w:hAnsi="Calibri" w:cs="Calibri"/>
          <w14:ligatures w14:val="none"/>
        </w:rPr>
        <w:t xml:space="preserve">275.265,96€ </w:t>
      </w:r>
      <w:r w:rsidRPr="00AA1A01">
        <w:rPr>
          <w:rFonts w:ascii="Calibri" w:eastAsia="Times New Roman" w:hAnsi="Calibri" w:cs="Times New Roman"/>
          <w14:ligatures w14:val="none"/>
        </w:rPr>
        <w:t xml:space="preserve">prihoda te ukupno </w:t>
      </w:r>
      <w:r w:rsidRPr="00AA1A01">
        <w:rPr>
          <w:rFonts w:ascii="Calibri" w:eastAsia="Times New Roman" w:hAnsi="Calibri" w:cs="Calibri"/>
          <w14:ligatures w14:val="none"/>
        </w:rPr>
        <w:t>265.661,26 €</w:t>
      </w:r>
      <w:r w:rsidRPr="00AA1A01">
        <w:rPr>
          <w:rFonts w:ascii="Calibri" w:eastAsia="Times New Roman" w:hAnsi="Calibri" w:cs="Times New Roman"/>
          <w14:ligatures w14:val="none"/>
        </w:rPr>
        <w:t xml:space="preserve"> rashoda, što daje višak prihoda poslovanja u ovom </w:t>
      </w:r>
      <w:r w:rsidRPr="00AA1A01">
        <w:rPr>
          <w:rFonts w:ascii="Calibri" w:eastAsia="Times New Roman" w:hAnsi="Calibri" w:cs="Calibri"/>
          <w14:ligatures w14:val="none"/>
        </w:rPr>
        <w:t xml:space="preserve"> periodu u iznosu 12.298,05 €, od čega je 2.693,35 € preneseni višak, a 9.604,70 € je višak ostvaren u 2023. godini  i on se gotovo u cijelosti odnosi na izvor 4.2. Pomoći za sufinanciranje pripravnice od strane HZZ-a.</w:t>
      </w:r>
    </w:p>
    <w:p w14:paraId="48A0334C" w14:textId="77777777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Calibri" w:eastAsia="SimSun" w:hAnsi="Calibri" w:cs="Calibri"/>
          <w:kern w:val="3"/>
          <w:lang w:eastAsia="zh-CN"/>
          <w14:ligatures w14:val="none"/>
        </w:rPr>
        <w:t>Manjak prihoda od nefinancijske imovine iznosi 2.459,80 € i on se u cijelosti odnosi na preneseni manjak prethodnih godina.</w:t>
      </w:r>
    </w:p>
    <w:p w14:paraId="44DCBA8F" w14:textId="11F640F6" w:rsidR="00AA1A01" w:rsidRPr="00AA1A01" w:rsidRDefault="00AA1A01" w:rsidP="00AA1A01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Calibri"/>
          <w:kern w:val="3"/>
          <w:lang w:eastAsia="zh-CN"/>
          <w14:ligatures w14:val="none"/>
        </w:rPr>
      </w:pPr>
      <w:r w:rsidRPr="00AA1A01">
        <w:rPr>
          <w:rFonts w:ascii="Times New Roman" w:eastAsia="SimSun" w:hAnsi="Times New Roman" w:cs="Lucida Sans"/>
          <w:noProof/>
          <w:kern w:val="3"/>
          <w:sz w:val="28"/>
          <w:szCs w:val="28"/>
          <w:lang w:eastAsia="hr-HR"/>
          <w14:ligatures w14:val="none"/>
        </w:rPr>
        <w:drawing>
          <wp:inline distT="0" distB="0" distL="0" distR="0" wp14:anchorId="186033CC" wp14:editId="1FF6B016">
            <wp:extent cx="5699760" cy="1363980"/>
            <wp:effectExtent l="0" t="0" r="0" b="7620"/>
            <wp:docPr id="201361193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D285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</w:p>
    <w:p w14:paraId="58B21899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</w:p>
    <w:p w14:paraId="43668F15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</w:p>
    <w:p w14:paraId="508BE8E0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</w:p>
    <w:p w14:paraId="2271C7D2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  <w:r w:rsidRPr="00AA1A01">
        <w:rPr>
          <w:rFonts w:ascii="Calibri" w:eastAsia="Times New Roman" w:hAnsi="Calibri" w:cs="Times New Roman"/>
          <w:b/>
          <w:bCs/>
          <w14:ligatures w14:val="none"/>
        </w:rPr>
        <w:lastRenderedPageBreak/>
        <w:t xml:space="preserve">B. OBRAZLOŽENJE POSEBNOG DIJELA IZVJEŠTAJA O IZVRŠENJU FINANCIJSKOG PLANA SADRŽI: </w:t>
      </w:r>
    </w:p>
    <w:p w14:paraId="020B9318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  <w:r w:rsidRPr="00AA1A01">
        <w:rPr>
          <w:rFonts w:ascii="Calibri" w:eastAsia="Times New Roman" w:hAnsi="Calibri" w:cs="Times New Roman"/>
          <w:b/>
          <w:bCs/>
          <w14:ligatures w14:val="none"/>
        </w:rPr>
        <w:t>1. OBRAZLOŽENJE IZVRŠENJA AKTIVNOSTI I PROJEKTA IZ POSEBNOG DIJELA FINANCIJSKOG PLANA S CILJEVIMA I POKAZATELJIMA REALIZIRANIM U IZVJEŠTAJNOM RAZDOBLJU</w:t>
      </w:r>
    </w:p>
    <w:p w14:paraId="11169DFE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Dječji vrtić Regoč Babina Greda je javna ustanova za rani i predškolski odgoj i obrazovanje kojoj je osnivač Općina Babina Greda. Djelokrug rada Ustanove definiran je Zakonom o predškolskom odgoju i obrazovanju Članak 1. stavak 2. te obuhvaća programe njege, zdravstvene zaštite, prehrane, socijalne skrbi, odgoja i obrazovanja. Neposredni rad s djecom temelji se na nacionalnom kurikulumu za rani i predškolski odgoj i obrazovanje, Godišnjem planu i programu odgojno-obrazovnog rada Dječjeg vrtića Regoč Babina Greda za pedagošku 2022./2023. i 2023./2024. godinu, Kurikuluma Dječjeg vrtića Regoč Babina Greda za pedagošku 2022./2023. i 2023./2024. godinu, Prijedloga koncepcije razvoja predškolskog odgoja u RH i Programskom usmjerenju odgoja i obrazovanja djece rane i predškolske dobi, sukladno Članku. 15. Zakona o predškolskom odgoju. Cilj nam je optimalno udovoljiti razvojnim potrebama, mogućnostima i interesima djece kroz razvojna područja o kojima skrbimo a ona su: </w:t>
      </w:r>
    </w:p>
    <w:p w14:paraId="2BB7DB70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a) Tjelesni rast i razvoj djeteta </w:t>
      </w:r>
    </w:p>
    <w:p w14:paraId="476A3114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b) Govor i komunikacije </w:t>
      </w:r>
    </w:p>
    <w:p w14:paraId="4FE99A7D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c) Socio-emocionalni razvoj </w:t>
      </w:r>
    </w:p>
    <w:p w14:paraId="4FD89F86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d) Spoznajni razvoj </w:t>
      </w:r>
    </w:p>
    <w:p w14:paraId="446CCA05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e) Dječje stvaralaštvo.</w:t>
      </w:r>
    </w:p>
    <w:p w14:paraId="1C8F02B4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Organizacija Ustanove kao i rad provodi se u matičnom objektu na lokaciji Braće Radić 15b, babina Greda.</w:t>
      </w:r>
    </w:p>
    <w:p w14:paraId="3567618C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Roditeljima i djeci nudimo redovan odgojno-obrazovni program:</w:t>
      </w:r>
    </w:p>
    <w:p w14:paraId="5A160D80" w14:textId="77777777" w:rsidR="00AA1A01" w:rsidRPr="00AA1A01" w:rsidRDefault="00AA1A01" w:rsidP="00AA1A01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Cjelodnevni (10- satni) jaslički i vrtićki program za djecu od 1 godine do polaska u osnovnu školu</w:t>
      </w:r>
    </w:p>
    <w:p w14:paraId="1B10D8F2" w14:textId="77777777" w:rsidR="00AA1A01" w:rsidRPr="00AA1A01" w:rsidRDefault="00AA1A01" w:rsidP="00AA1A01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" w:eastAsia="Times New Roman" w:hAnsi="Calibri" w:cs="Calibri"/>
          <w14:ligatures w14:val="none"/>
        </w:rPr>
      </w:pPr>
      <w:r w:rsidRPr="00AA1A01">
        <w:rPr>
          <w:rFonts w:ascii="Calibri" w:eastAsia="Times New Roman" w:hAnsi="Calibri" w:cs="Calibri"/>
          <w14:ligatures w14:val="none"/>
        </w:rPr>
        <w:t>Poludnevni (5-satni) vrtićki program za djecu od 3 godine do polaska u školu.</w:t>
      </w:r>
    </w:p>
    <w:p w14:paraId="705F6F89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Od kraćih programa nudimo: </w:t>
      </w:r>
    </w:p>
    <w:p w14:paraId="1846E0BE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a) Program predškole </w:t>
      </w:r>
    </w:p>
    <w:p w14:paraId="7228AA2B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b) Kraći program ranog učenja engleskog jezika</w:t>
      </w:r>
    </w:p>
    <w:p w14:paraId="1D1528F6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c) Kraći sportski program „Rastimo zdravo“.</w:t>
      </w:r>
    </w:p>
    <w:p w14:paraId="4FD12A3A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Navedeni programi verificirani su od strane ministarstva znanosti i obrazovanja koje nam je dostavilo suglasnost na njihovu izvedbu. </w:t>
      </w:r>
    </w:p>
    <w:p w14:paraId="264DCA24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lastRenderedPageBreak/>
        <w:t>Kraći program ranog učenja engleskog jezika i Kraći sportski program „Rastimo zdravo“ financiraju se uplatama roditelja u iznosu od 13,27</w:t>
      </w:r>
      <w:r w:rsidRPr="00AA1A01">
        <w:rPr>
          <w:rFonts w:ascii="Calibri" w:eastAsia="Times New Roman" w:hAnsi="Calibri" w:cs="Calibri"/>
          <w14:ligatures w14:val="none"/>
        </w:rPr>
        <w:t>€</w:t>
      </w:r>
      <w:r w:rsidRPr="00AA1A01">
        <w:rPr>
          <w:rFonts w:ascii="Calibri" w:eastAsia="Times New Roman" w:hAnsi="Calibri" w:cs="Times New Roman"/>
          <w14:ligatures w14:val="none"/>
        </w:rPr>
        <w:t xml:space="preserve"> mjesečno te se od toga isplaćuju ugovori o djelu za voditelje programa.</w:t>
      </w:r>
    </w:p>
    <w:p w14:paraId="11507D1B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Kraći programi izvode se dva puta tjedno u vremenskom trajanju od 30 do 45 minuta, a namijenjeni su djeci u dobi od 3 godine do polaska u školu, dok se Program predškole provodi tri put tjedno u trajanju od 2 i pol sata.</w:t>
      </w:r>
    </w:p>
    <w:p w14:paraId="57DC26DC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Programe vode vanjski suradnici, a za provođenje Programa predškole zaposlena je jedna odgojiteljica na pola radnog vremena, za vrijeme trajanja Programa predškole.</w:t>
      </w:r>
    </w:p>
    <w:p w14:paraId="33CBACA6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Ukupno su u Vrtiću četiri odgojne skupine, broj upisane djece je 73, broj odgojiteljica je 7 u redovnom desetsatnom boravku i 1 u redovnom petsatnom boravku.</w:t>
      </w:r>
    </w:p>
    <w:p w14:paraId="27AB3745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U Program predškole, koji je obvezan za svu djecu u godini prije polaska u osnovnu školu, a koja nisu uključena u redovni vrtićki program upisano je 26 djece u pedagoškoj 2022./2023. godini i 15 u pedagoškoj 2023./2024. godini. </w:t>
      </w:r>
    </w:p>
    <w:p w14:paraId="6E74192C" w14:textId="77777777" w:rsidR="00AA1A01" w:rsidRPr="00AA1A01" w:rsidRDefault="00AA1A01" w:rsidP="00AA1A01">
      <w:pPr>
        <w:spacing w:line="360" w:lineRule="auto"/>
        <w:ind w:firstLine="360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 xml:space="preserve">Program predškole provodi se tri put tjedno i u njemu radi jedna odgojiteljica na pola radnog vremena (20 sati tjedno). </w:t>
      </w:r>
    </w:p>
    <w:p w14:paraId="76F69548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:b/>
          <w:bCs/>
          <w14:ligatures w14:val="none"/>
        </w:rPr>
      </w:pPr>
      <w:r w:rsidRPr="00AA1A01">
        <w:rPr>
          <w:rFonts w:ascii="Calibri" w:eastAsia="Times New Roman" w:hAnsi="Calibri" w:cs="Times New Roman"/>
          <w:b/>
          <w:bCs/>
          <w14:ligatures w14:val="none"/>
        </w:rPr>
        <w:t xml:space="preserve">ZAKONSKE I DRUGE PODLOGE NA KOJIMA SE ZASNIVAJU PROGRAMI </w:t>
      </w:r>
    </w:p>
    <w:p w14:paraId="6CC9E55D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Zakon o predškolskom odgoju i obrazovanju (NN 10/97, 107/07, 94/13, 98/19, 57/22 i 101/23.) </w:t>
      </w:r>
    </w:p>
    <w:p w14:paraId="18710484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Državni pedagoški standard predškolskog odgoja i naobrazbe (NN 63/08 i 90/10) </w:t>
      </w:r>
    </w:p>
    <w:p w14:paraId="42C70CCD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Pravilnik o sadržaju i trajanju programa predškole (NN 107/14.) </w:t>
      </w:r>
    </w:p>
    <w:p w14:paraId="6942EDEF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Pravilnik o vrsti stručne spreme stručnih djelatnika te vrsti i stupnju stručne spreme ostalih djelatnika u dječjem vrtiću (NN 133/97.) </w:t>
      </w:r>
    </w:p>
    <w:p w14:paraId="47AEE561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Pravilnik o načinu i uvjetima napredovanja u struci i promicanju u položajna zvanja odgojitelja i stručnih suradnika u dječjim vrtićima (NN 133/97.) </w:t>
      </w:r>
    </w:p>
    <w:p w14:paraId="1BA2A83C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Pravilnik o načinu i uvjetima polaganja stručnog ispita odgojitelja i stručnih suradnika u dječjem vrtiću (NN 133/97.) </w:t>
      </w:r>
    </w:p>
    <w:p w14:paraId="4A1CD226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Nacionalni kurikulum za rani i predškolski odgoj i obrazovanje (2014.) </w:t>
      </w:r>
    </w:p>
    <w:p w14:paraId="4EB6D92A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Pravilnik o načinu raspolaganja sredstvima državnog proračuna i mjerilima sufinanciranja programa predškolskog odgoja (NN 134/97) </w:t>
      </w:r>
    </w:p>
    <w:p w14:paraId="57B60689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Program zdravstvene zaštite djece, higijene i pravilne prehrane djece u dječjim vrtićima (NN 105/02.) </w:t>
      </w:r>
    </w:p>
    <w:p w14:paraId="7D258D48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lastRenderedPageBreak/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Izmjene i dopune Programa zdravstvene zaštite djece, higijene i pravilne prehrane djece u dječjim vrtićima (NN121/07.) </w:t>
      </w:r>
    </w:p>
    <w:p w14:paraId="24AA095B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Zakon o hrani (NN 81/13, 18/23..) </w:t>
      </w:r>
    </w:p>
    <w:p w14:paraId="2A35A7D3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sym w:font="Symbol" w:char="F0B7"/>
      </w:r>
      <w:r w:rsidRPr="00AA1A01">
        <w:rPr>
          <w:rFonts w:ascii="Calibri" w:eastAsia="Times New Roman" w:hAnsi="Calibri" w:cs="Times New Roman"/>
          <w14:ligatures w14:val="none"/>
        </w:rPr>
        <w:t xml:space="preserve"> Zakon o higijeni hrane i mikrobiološkim kriterijima za hranu (NN 81/13, 83/22).</w:t>
      </w:r>
    </w:p>
    <w:p w14:paraId="6774133B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Članak 3.</w:t>
      </w:r>
    </w:p>
    <w:p w14:paraId="6B12A682" w14:textId="77777777" w:rsidR="00AA1A01" w:rsidRPr="00AA1A01" w:rsidRDefault="00AA1A01" w:rsidP="00AA1A01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Godišnji izvještaj o izvršenju financijskog plana Dječjeg vrtića Regoč Babina Greda objavit će se na mrežnoj stranici Dječjeg vrtića Regoč Babina Greda.</w:t>
      </w:r>
    </w:p>
    <w:p w14:paraId="458AAE88" w14:textId="77777777" w:rsidR="00AA1A01" w:rsidRPr="00AA1A01" w:rsidRDefault="00AA1A01" w:rsidP="00AA1A01">
      <w:pPr>
        <w:spacing w:line="360" w:lineRule="auto"/>
        <w:jc w:val="center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Članak 4.</w:t>
      </w:r>
    </w:p>
    <w:p w14:paraId="30D66B7F" w14:textId="152794A0" w:rsidR="00AA1A01" w:rsidRPr="00AA1A01" w:rsidRDefault="00AA1A01" w:rsidP="00C441DC">
      <w:pPr>
        <w:spacing w:line="360" w:lineRule="auto"/>
        <w:ind w:firstLine="708"/>
        <w:jc w:val="both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Usvojeni financijski izvještaj Dječjeg vrtića Regoč Babina Greda dostavit će se u Općinu Babina Greda na daljnje postupanje.</w:t>
      </w:r>
    </w:p>
    <w:p w14:paraId="2CE6A21B" w14:textId="77777777" w:rsidR="00AA1A01" w:rsidRPr="00AA1A01" w:rsidRDefault="00AA1A01" w:rsidP="00AA1A01">
      <w:pPr>
        <w:spacing w:line="360" w:lineRule="auto"/>
        <w:jc w:val="both"/>
        <w:rPr>
          <w:rFonts w:ascii="Calibri" w:eastAsia="Times New Roman" w:hAnsi="Calibri" w:cs="Times New Roman"/>
          <w14:ligatures w14:val="none"/>
        </w:rPr>
      </w:pPr>
    </w:p>
    <w:p w14:paraId="56AE3835" w14:textId="6F11B3B2" w:rsidR="00AA1A01" w:rsidRPr="00AA1A01" w:rsidRDefault="00AA1A01" w:rsidP="00C441DC">
      <w:pPr>
        <w:spacing w:line="360" w:lineRule="auto"/>
        <w:jc w:val="right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PREDSJEDNIK UPRAVNOG VIJEĆA:</w:t>
      </w:r>
    </w:p>
    <w:p w14:paraId="74AF3CF1" w14:textId="77777777" w:rsidR="00AA1A01" w:rsidRPr="00AA1A01" w:rsidRDefault="00AA1A01" w:rsidP="00AA1A01">
      <w:pPr>
        <w:spacing w:line="360" w:lineRule="auto"/>
        <w:jc w:val="right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____________________________</w:t>
      </w:r>
    </w:p>
    <w:p w14:paraId="01C1D4C7" w14:textId="77777777" w:rsidR="00AA1A01" w:rsidRPr="00AA1A01" w:rsidRDefault="00AA1A01" w:rsidP="00AA1A01">
      <w:pPr>
        <w:spacing w:line="360" w:lineRule="auto"/>
        <w:ind w:left="5664" w:firstLine="708"/>
        <w:jc w:val="center"/>
        <w:rPr>
          <w:rFonts w:ascii="Calibri" w:eastAsia="Times New Roman" w:hAnsi="Calibri" w:cs="Times New Roman"/>
          <w14:ligatures w14:val="none"/>
        </w:rPr>
      </w:pPr>
      <w:r w:rsidRPr="00AA1A01">
        <w:rPr>
          <w:rFonts w:ascii="Calibri" w:eastAsia="Times New Roman" w:hAnsi="Calibri" w:cs="Times New Roman"/>
          <w14:ligatures w14:val="none"/>
        </w:rPr>
        <w:t>Tomislav Kopić</w:t>
      </w:r>
    </w:p>
    <w:p w14:paraId="040C8713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</w:p>
    <w:p w14:paraId="6FA6A0E5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</w:p>
    <w:p w14:paraId="66775C7A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C23A996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F2D9D3C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3F5D40D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8D4B49D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321C63A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1BE54B8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3DC4F2C9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7A2CEA1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BDDC683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6156922" w14:textId="77777777" w:rsidR="00AA1A01" w:rsidRPr="00AA1A01" w:rsidRDefault="00AA1A01" w:rsidP="00AA1A01">
      <w:pPr>
        <w:spacing w:after="0" w:line="240" w:lineRule="auto"/>
        <w:jc w:val="right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E6EF326" w14:textId="77777777" w:rsidR="00AA1A01" w:rsidRPr="00AA1A01" w:rsidRDefault="00AA1A01" w:rsidP="00AA1A01">
      <w:pPr>
        <w:spacing w:after="0" w:line="240" w:lineRule="auto"/>
        <w:jc w:val="right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172E2AE" w14:textId="77777777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F6EF9EF" w14:textId="77777777" w:rsidR="00AA1A01" w:rsidRPr="00AA1A01" w:rsidRDefault="00AA1A01" w:rsidP="00AA1A01">
      <w:pPr>
        <w:jc w:val="right"/>
        <w:rPr>
          <w:rFonts w:ascii="Calibri" w:eastAsia="Times New Roman" w:hAnsi="Calibri" w:cs="Times New Roman"/>
          <w:kern w:val="0"/>
          <w14:ligatures w14:val="none"/>
        </w:rPr>
      </w:pPr>
    </w:p>
    <w:p w14:paraId="5F774606" w14:textId="77777777" w:rsidR="00AA1A01" w:rsidRPr="00AA1A01" w:rsidRDefault="00AA1A01" w:rsidP="00AA1A01">
      <w:pPr>
        <w:rPr>
          <w:rFonts w:ascii="Calibri" w:eastAsia="Times New Roman" w:hAnsi="Calibri" w:cs="Times New Roman"/>
          <w:kern w:val="0"/>
          <w14:ligatures w14:val="none"/>
        </w:rPr>
      </w:pPr>
    </w:p>
    <w:p w14:paraId="7DC64C49" w14:textId="77777777" w:rsidR="00AA1A01" w:rsidRPr="00AA1A01" w:rsidRDefault="00AA1A01" w:rsidP="00AA1A01">
      <w:pPr>
        <w:rPr>
          <w:rFonts w:ascii="Calibri" w:eastAsia="Times New Roman" w:hAnsi="Calibri" w:cs="Times New Roman"/>
          <w:kern w:val="0"/>
          <w14:ligatures w14:val="none"/>
        </w:rPr>
      </w:pPr>
    </w:p>
    <w:p w14:paraId="3B69933E" w14:textId="77777777" w:rsidR="00AA1A01" w:rsidRPr="00AA1A01" w:rsidRDefault="00AA1A01" w:rsidP="00AA1A01">
      <w:pPr>
        <w:rPr>
          <w:rFonts w:ascii="Calibri" w:eastAsia="Times New Roman" w:hAnsi="Calibri" w:cs="Times New Roman"/>
          <w:kern w:val="0"/>
          <w14:ligatures w14:val="none"/>
        </w:rPr>
      </w:pPr>
    </w:p>
    <w:p w14:paraId="5C427BC7" w14:textId="001390AF" w:rsidR="00AA1A01" w:rsidRPr="00AA1A01" w:rsidRDefault="00AA1A01" w:rsidP="00AA1A01">
      <w:pPr>
        <w:spacing w:after="0" w:line="240" w:lineRule="auto"/>
        <w:rPr>
          <w:rFonts w:ascii="Calibri" w:eastAsia="Times New Roman" w:hAnsi="Calibri" w:cs="Times New Roman"/>
          <w:b/>
          <w:noProof/>
          <w:kern w:val="0"/>
          <w14:ligatures w14:val="none"/>
        </w:rPr>
      </w:pPr>
      <w:r w:rsidRPr="00AA1A01">
        <w:rPr>
          <w:rFonts w:ascii="Calibri" w:eastAsia="Times New Roma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7EC87A" wp14:editId="787A1F66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8255" b="0"/>
                <wp:wrapNone/>
                <wp:docPr id="307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C864" w14:textId="77777777" w:rsidR="00AA1A01" w:rsidRDefault="00AA1A01" w:rsidP="00AA1A0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EC87A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8.6pt;margin-top:729.65pt;width:278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3DAFC864" w14:textId="77777777" w:rsidR="00AA1A01" w:rsidRDefault="00AA1A01" w:rsidP="00AA1A01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271540B" w14:textId="77777777" w:rsidR="00F54B49" w:rsidRDefault="00F54B49"/>
    <w:sectPr w:rsidR="00F54B49" w:rsidSect="00EF3EF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FFFFFFFF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FFFFFFFF"/>
    <w:lvl w:ilvl="0" w:tplc="FFFFFFFF">
      <w:start w:val="61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B"/>
    <w:multiLevelType w:val="hybridMultilevel"/>
    <w:tmpl w:val="FFFFFFFF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E"/>
    <w:multiLevelType w:val="hybridMultilevel"/>
    <w:tmpl w:val="FFFFFFF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F"/>
    <w:multiLevelType w:val="hybridMultilevel"/>
    <w:tmpl w:val="FFFFFFFF"/>
    <w:lvl w:ilvl="0" w:tplc="FFFFFFFF">
      <w:start w:val="1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5158E3"/>
    <w:multiLevelType w:val="hybridMultilevel"/>
    <w:tmpl w:val="FFFFFFFF"/>
    <w:lvl w:ilvl="0" w:tplc="5BCABD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C472F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4D5098"/>
    <w:multiLevelType w:val="hybridMultilevel"/>
    <w:tmpl w:val="FFFFFFFF"/>
    <w:lvl w:ilvl="0" w:tplc="28B4DA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D2FAC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3F68"/>
    <w:multiLevelType w:val="hybridMultilevel"/>
    <w:tmpl w:val="FFFFFFFF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730D4E"/>
    <w:multiLevelType w:val="hybridMultilevel"/>
    <w:tmpl w:val="FFFFFFFF"/>
    <w:lvl w:ilvl="0" w:tplc="ED2C5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065E4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C6B33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9708ED"/>
    <w:multiLevelType w:val="hybridMultilevel"/>
    <w:tmpl w:val="FFFFFFFF"/>
    <w:lvl w:ilvl="0" w:tplc="F91AFC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121DE4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F0D35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2A450B"/>
    <w:multiLevelType w:val="hybridMultilevel"/>
    <w:tmpl w:val="FFFFFFFF"/>
    <w:lvl w:ilvl="0" w:tplc="7D4E9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B136A5"/>
    <w:multiLevelType w:val="multilevel"/>
    <w:tmpl w:val="FFFFFFFF"/>
    <w:lvl w:ilvl="0">
      <w:numFmt w:val="bullet"/>
      <w:lvlText w:val="•"/>
      <w:lvlJc w:val="left"/>
      <w:pPr>
        <w:ind w:left="709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Times New Roman" w:hAnsi="OpenSymbol"/>
      </w:rPr>
    </w:lvl>
  </w:abstractNum>
  <w:abstractNum w:abstractNumId="19" w15:restartNumberingAfterBreak="0">
    <w:nsid w:val="2D531088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6D63E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32F8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F187D"/>
    <w:multiLevelType w:val="hybridMultilevel"/>
    <w:tmpl w:val="FFFFFFFF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90E2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05143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97834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65AD7"/>
    <w:multiLevelType w:val="hybridMultilevel"/>
    <w:tmpl w:val="FFFFFFFF"/>
    <w:lvl w:ilvl="0" w:tplc="65C24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BB0A99"/>
    <w:multiLevelType w:val="multilevel"/>
    <w:tmpl w:val="52BB0A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4278E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C0BC0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A2667"/>
    <w:multiLevelType w:val="hybridMultilevel"/>
    <w:tmpl w:val="FFFFFFFF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6A4C9B"/>
    <w:multiLevelType w:val="hybridMultilevel"/>
    <w:tmpl w:val="FFFFFFFF"/>
    <w:lvl w:ilvl="0" w:tplc="F6E65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3078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E81392"/>
    <w:multiLevelType w:val="hybridMultilevel"/>
    <w:tmpl w:val="FFFFFFFF"/>
    <w:lvl w:ilvl="0" w:tplc="929CD7B0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B63A1E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C1023"/>
    <w:multiLevelType w:val="hybridMultilevel"/>
    <w:tmpl w:val="FFFFFFFF"/>
    <w:lvl w:ilvl="0" w:tplc="606A17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3F31EC"/>
    <w:multiLevelType w:val="hybridMultilevel"/>
    <w:tmpl w:val="FFFFFFFF"/>
    <w:lvl w:ilvl="0" w:tplc="32BCA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E33DF3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03DE5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7894">
    <w:abstractNumId w:val="30"/>
  </w:num>
  <w:num w:numId="2" w16cid:durableId="1364087678">
    <w:abstractNumId w:val="0"/>
  </w:num>
  <w:num w:numId="3" w16cid:durableId="1234311274">
    <w:abstractNumId w:val="1"/>
  </w:num>
  <w:num w:numId="4" w16cid:durableId="1394506264">
    <w:abstractNumId w:val="2"/>
  </w:num>
  <w:num w:numId="5" w16cid:durableId="1181313875">
    <w:abstractNumId w:val="3"/>
  </w:num>
  <w:num w:numId="6" w16cid:durableId="359669923">
    <w:abstractNumId w:val="12"/>
  </w:num>
  <w:num w:numId="7" w16cid:durableId="1426539437">
    <w:abstractNumId w:val="21"/>
  </w:num>
  <w:num w:numId="8" w16cid:durableId="345206978">
    <w:abstractNumId w:val="15"/>
  </w:num>
  <w:num w:numId="9" w16cid:durableId="465784450">
    <w:abstractNumId w:val="38"/>
  </w:num>
  <w:num w:numId="10" w16cid:durableId="453333502">
    <w:abstractNumId w:val="28"/>
  </w:num>
  <w:num w:numId="11" w16cid:durableId="1162696994">
    <w:abstractNumId w:val="9"/>
  </w:num>
  <w:num w:numId="12" w16cid:durableId="976372544">
    <w:abstractNumId w:val="24"/>
  </w:num>
  <w:num w:numId="13" w16cid:durableId="1053164283">
    <w:abstractNumId w:val="16"/>
  </w:num>
  <w:num w:numId="14" w16cid:durableId="353656140">
    <w:abstractNumId w:val="23"/>
  </w:num>
  <w:num w:numId="15" w16cid:durableId="1736857487">
    <w:abstractNumId w:val="20"/>
  </w:num>
  <w:num w:numId="16" w16cid:durableId="1203908448">
    <w:abstractNumId w:val="37"/>
  </w:num>
  <w:num w:numId="17" w16cid:durableId="1013729619">
    <w:abstractNumId w:val="4"/>
  </w:num>
  <w:num w:numId="18" w16cid:durableId="824466563">
    <w:abstractNumId w:val="5"/>
  </w:num>
  <w:num w:numId="19" w16cid:durableId="1697458402">
    <w:abstractNumId w:val="31"/>
  </w:num>
  <w:num w:numId="20" w16cid:durableId="335886987">
    <w:abstractNumId w:val="25"/>
  </w:num>
  <w:num w:numId="21" w16cid:durableId="386532066">
    <w:abstractNumId w:val="32"/>
  </w:num>
  <w:num w:numId="22" w16cid:durableId="917901319">
    <w:abstractNumId w:val="36"/>
  </w:num>
  <w:num w:numId="23" w16cid:durableId="323976348">
    <w:abstractNumId w:val="35"/>
  </w:num>
  <w:num w:numId="24" w16cid:durableId="1215654592">
    <w:abstractNumId w:val="11"/>
  </w:num>
  <w:num w:numId="25" w16cid:durableId="404573877">
    <w:abstractNumId w:val="7"/>
  </w:num>
  <w:num w:numId="26" w16cid:durableId="779764663">
    <w:abstractNumId w:val="26"/>
  </w:num>
  <w:num w:numId="27" w16cid:durableId="32074646">
    <w:abstractNumId w:val="6"/>
  </w:num>
  <w:num w:numId="28" w16cid:durableId="771970032">
    <w:abstractNumId w:val="29"/>
  </w:num>
  <w:num w:numId="29" w16cid:durableId="1941134756">
    <w:abstractNumId w:val="14"/>
  </w:num>
  <w:num w:numId="30" w16cid:durableId="610550509">
    <w:abstractNumId w:val="33"/>
  </w:num>
  <w:num w:numId="31" w16cid:durableId="822894360">
    <w:abstractNumId w:val="8"/>
  </w:num>
  <w:num w:numId="32" w16cid:durableId="1596554066">
    <w:abstractNumId w:val="19"/>
  </w:num>
  <w:num w:numId="33" w16cid:durableId="998844998">
    <w:abstractNumId w:val="13"/>
  </w:num>
  <w:num w:numId="34" w16cid:durableId="1806655009">
    <w:abstractNumId w:val="18"/>
  </w:num>
  <w:num w:numId="35" w16cid:durableId="1526940638">
    <w:abstractNumId w:val="22"/>
  </w:num>
  <w:num w:numId="36" w16cid:durableId="1567913277">
    <w:abstractNumId w:val="17"/>
  </w:num>
  <w:num w:numId="37" w16cid:durableId="150365024">
    <w:abstractNumId w:val="34"/>
  </w:num>
  <w:num w:numId="38" w16cid:durableId="646476500">
    <w:abstractNumId w:val="10"/>
  </w:num>
  <w:num w:numId="39" w16cid:durableId="2745306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1"/>
    <w:rsid w:val="0038454F"/>
    <w:rsid w:val="00AA1A01"/>
    <w:rsid w:val="00C441DC"/>
    <w:rsid w:val="00EF3EF3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CDF8"/>
  <w15:chartTrackingRefBased/>
  <w15:docId w15:val="{BE8D0D9A-B556-43F0-9DA8-D19C407D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A1A0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1A0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A1A0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A1A0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1A01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1A01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A1A01"/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A1A01"/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AA1A01"/>
  </w:style>
  <w:style w:type="table" w:customStyle="1" w:styleId="Reetkatablice1">
    <w:name w:val="Rešetka tablice1"/>
    <w:basedOn w:val="Obinatablica"/>
    <w:next w:val="Reetkatablice"/>
    <w:uiPriority w:val="59"/>
    <w:rsid w:val="00AA1A01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A01"/>
    <w:pPr>
      <w:spacing w:after="0" w:line="240" w:lineRule="auto"/>
    </w:pPr>
    <w:rPr>
      <w:rFonts w:ascii="Tahoma" w:eastAsia="Times New Roman" w:hAnsi="Tahoma" w:cs="Tahoma"/>
      <w:noProof/>
      <w:kern w:val="0"/>
      <w:sz w:val="16"/>
      <w:szCs w:val="16"/>
      <w14:ligatures w14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A01"/>
    <w:rPr>
      <w:rFonts w:ascii="Tahoma" w:eastAsia="Times New Roman" w:hAnsi="Tahoma" w:cs="Tahoma"/>
      <w:noProof/>
      <w:kern w:val="0"/>
      <w:sz w:val="16"/>
      <w:szCs w:val="16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AA1A01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AA1A01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AA1A0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14:ligatures w14:val="non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A1A0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14:ligatures w14:val="none"/>
    </w:rPr>
  </w:style>
  <w:style w:type="paragraph" w:customStyle="1" w:styleId="Heading31">
    <w:name w:val="Heading 31"/>
    <w:basedOn w:val="Normal"/>
    <w:next w:val="Normal"/>
    <w:uiPriority w:val="9"/>
    <w:unhideWhenUsed/>
    <w:qFormat/>
    <w:locked/>
    <w:rsid w:val="00AA1A0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AA1A01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14:ligatures w14:val="none"/>
    </w:rPr>
  </w:style>
  <w:style w:type="paragraph" w:customStyle="1" w:styleId="ListParagraph1">
    <w:name w:val="List Paragraph1"/>
    <w:basedOn w:val="Normal"/>
    <w:next w:val="Odlomakpopisa"/>
    <w:uiPriority w:val="34"/>
    <w:qFormat/>
    <w:rsid w:val="00AA1A01"/>
    <w:pPr>
      <w:ind w:left="720"/>
      <w:contextualSpacing/>
    </w:pPr>
    <w:rPr>
      <w:rFonts w:eastAsia="Times New Roman" w:cs="Times New Roman"/>
      <w14:ligatures w14:val="none"/>
    </w:rPr>
  </w:style>
  <w:style w:type="table" w:customStyle="1" w:styleId="TableGrid2">
    <w:name w:val="Table Grid2"/>
    <w:basedOn w:val="Obinatablica"/>
    <w:next w:val="Reetkatablice"/>
    <w:uiPriority w:val="39"/>
    <w:rsid w:val="00AA1A01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Podnoje"/>
    <w:link w:val="FooterChar"/>
    <w:uiPriority w:val="99"/>
    <w:unhideWhenUsed/>
    <w:rsid w:val="00AA1A0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customStyle="1" w:styleId="NoSpacing1">
    <w:name w:val="No Spacing1"/>
    <w:next w:val="Bezproreda"/>
    <w:uiPriority w:val="1"/>
    <w:qFormat/>
    <w:rsid w:val="00AA1A01"/>
    <w:pPr>
      <w:spacing w:after="0" w:line="240" w:lineRule="auto"/>
    </w:pPr>
    <w:rPr>
      <w:rFonts w:eastAsia="Times New Roman" w:cs="Times New Roman"/>
      <w14:ligatures w14:val="none"/>
    </w:rPr>
  </w:style>
  <w:style w:type="character" w:customStyle="1" w:styleId="FooterChar">
    <w:name w:val="Footer Char"/>
    <w:basedOn w:val="Zadanifontodlomka"/>
    <w:link w:val="Footer1"/>
    <w:uiPriority w:val="99"/>
    <w:locked/>
    <w:rsid w:val="00AA1A01"/>
    <w:rPr>
      <w:rFonts w:eastAsia="Times New Roman" w:cs="Times New Roman"/>
      <w:kern w:val="0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AA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Header1">
    <w:name w:val="Header1"/>
    <w:basedOn w:val="Normal"/>
    <w:next w:val="Zaglavlje"/>
    <w:link w:val="HeaderChar"/>
    <w:uiPriority w:val="99"/>
    <w:unhideWhenUsed/>
    <w:rsid w:val="00AA1A0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customStyle="1" w:styleId="Textbody">
    <w:name w:val="Text body"/>
    <w:basedOn w:val="Normal"/>
    <w:rsid w:val="00AA1A0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customStyle="1" w:styleId="HeaderChar">
    <w:name w:val="Header Char"/>
    <w:basedOn w:val="Zadanifontodlomka"/>
    <w:link w:val="Header1"/>
    <w:uiPriority w:val="99"/>
    <w:locked/>
    <w:rsid w:val="00AA1A01"/>
    <w:rPr>
      <w:rFonts w:eastAsia="Times New Roman" w:cs="Times New Roman"/>
      <w:kern w:val="0"/>
      <w14:ligatures w14:val="none"/>
    </w:rPr>
  </w:style>
  <w:style w:type="character" w:customStyle="1" w:styleId="StrongEmphasis">
    <w:name w:val="Strong Emphasis"/>
    <w:rsid w:val="00AA1A01"/>
    <w:rPr>
      <w:b/>
    </w:rPr>
  </w:style>
  <w:style w:type="paragraph" w:customStyle="1" w:styleId="Standard">
    <w:name w:val="Standard"/>
    <w:rsid w:val="00AA1A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customStyle="1" w:styleId="Heading2Char1">
    <w:name w:val="Heading 2 Char1"/>
    <w:basedOn w:val="Zadanifontodlomka"/>
    <w:uiPriority w:val="9"/>
    <w:semiHidden/>
    <w:rsid w:val="00AA1A01"/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customStyle="1" w:styleId="Heading3Char1">
    <w:name w:val="Heading 3 Char1"/>
    <w:basedOn w:val="Zadanifontodlomka"/>
    <w:uiPriority w:val="9"/>
    <w:semiHidden/>
    <w:rsid w:val="00AA1A01"/>
    <w:rPr>
      <w:rFonts w:ascii="Cambria" w:eastAsia="Times New Roman" w:hAnsi="Cambria" w:cs="Times New Roman"/>
      <w:noProof/>
      <w:color w:val="243F60"/>
      <w:sz w:val="24"/>
      <w:szCs w:val="24"/>
    </w:rPr>
  </w:style>
  <w:style w:type="character" w:customStyle="1" w:styleId="Heading4Char1">
    <w:name w:val="Heading 4 Char1"/>
    <w:basedOn w:val="Zadanifontodlomka"/>
    <w:uiPriority w:val="9"/>
    <w:semiHidden/>
    <w:rsid w:val="00AA1A01"/>
    <w:rPr>
      <w:rFonts w:ascii="Cambria" w:eastAsia="Times New Roman" w:hAnsi="Cambria" w:cs="Times New Roman"/>
      <w:i/>
      <w:iCs/>
      <w:noProof/>
      <w:color w:val="365F91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AA1A01"/>
    <w:pPr>
      <w:spacing w:after="0" w:line="240" w:lineRule="auto"/>
      <w:ind w:left="720"/>
      <w:contextualSpacing/>
    </w:pPr>
    <w:rPr>
      <w:rFonts w:eastAsia="Times New Roman" w:cs="Times New Roman"/>
      <w:noProof/>
      <w:kern w:val="0"/>
      <w14:ligatures w14:val="none"/>
    </w:rPr>
  </w:style>
  <w:style w:type="character" w:customStyle="1" w:styleId="Heading1Char1">
    <w:name w:val="Heading 1 Char1"/>
    <w:basedOn w:val="Zadanifontodlomka"/>
    <w:uiPriority w:val="9"/>
    <w:rsid w:val="00AA1A01"/>
    <w:rPr>
      <w:rFonts w:ascii="Cambria" w:eastAsia="Times New Roman" w:hAnsi="Cambria" w:cs="Times New Roman"/>
      <w:noProof/>
      <w:color w:val="365F91"/>
      <w:sz w:val="32"/>
      <w:szCs w:val="32"/>
    </w:rPr>
  </w:style>
  <w:style w:type="paragraph" w:customStyle="1" w:styleId="Podnoje1">
    <w:name w:val="Podnožje1"/>
    <w:basedOn w:val="Normal"/>
    <w:next w:val="Podnoje"/>
    <w:link w:val="PodnojeChar"/>
    <w:uiPriority w:val="99"/>
    <w:semiHidden/>
    <w:unhideWhenUsed/>
    <w:rsid w:val="00AA1A01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</w:rPr>
  </w:style>
  <w:style w:type="paragraph" w:customStyle="1" w:styleId="Bezproreda1">
    <w:name w:val="Bez proreda1"/>
    <w:next w:val="Bezproreda"/>
    <w:uiPriority w:val="1"/>
    <w:qFormat/>
    <w:rsid w:val="00AA1A01"/>
    <w:pPr>
      <w:spacing w:after="0" w:line="240" w:lineRule="auto"/>
    </w:pPr>
    <w:rPr>
      <w:rFonts w:eastAsia="Times New Roman" w:cs="Times New Roman"/>
      <w:noProof/>
      <w:kern w:val="0"/>
      <w14:ligatures w14:val="none"/>
    </w:rPr>
  </w:style>
  <w:style w:type="character" w:customStyle="1" w:styleId="PodnojeChar">
    <w:name w:val="Podnožje Char"/>
    <w:basedOn w:val="Zadanifontodlomka"/>
    <w:link w:val="Podnoje1"/>
    <w:uiPriority w:val="99"/>
    <w:semiHidden/>
    <w:locked/>
    <w:rsid w:val="00AA1A01"/>
    <w:rPr>
      <w:rFonts w:cs="Times New Roman"/>
      <w:noProof/>
    </w:rPr>
  </w:style>
  <w:style w:type="paragraph" w:customStyle="1" w:styleId="Zaglavlje1">
    <w:name w:val="Zaglavlje1"/>
    <w:basedOn w:val="Normal"/>
    <w:next w:val="Zaglavlje"/>
    <w:link w:val="ZaglavljeChar"/>
    <w:uiPriority w:val="99"/>
    <w:semiHidden/>
    <w:unhideWhenUsed/>
    <w:rsid w:val="00AA1A01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</w:rPr>
  </w:style>
  <w:style w:type="character" w:customStyle="1" w:styleId="ZaglavljeChar">
    <w:name w:val="Zaglavlje Char"/>
    <w:basedOn w:val="Zadanifontodlomka"/>
    <w:link w:val="Zaglavlje1"/>
    <w:uiPriority w:val="99"/>
    <w:semiHidden/>
    <w:locked/>
    <w:rsid w:val="00AA1A01"/>
    <w:rPr>
      <w:rFonts w:cs="Times New Roman"/>
      <w:noProof/>
    </w:rPr>
  </w:style>
  <w:style w:type="table" w:styleId="Reetkatablice">
    <w:name w:val="Table Grid"/>
    <w:basedOn w:val="Obinatablica"/>
    <w:uiPriority w:val="39"/>
    <w:rsid w:val="00AA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1A01"/>
    <w:pPr>
      <w:ind w:left="720"/>
      <w:contextualSpacing/>
    </w:pPr>
  </w:style>
  <w:style w:type="paragraph" w:styleId="Podnoje">
    <w:name w:val="footer"/>
    <w:basedOn w:val="Normal"/>
    <w:link w:val="PodnojeChar1"/>
    <w:uiPriority w:val="99"/>
    <w:semiHidden/>
    <w:unhideWhenUsed/>
    <w:rsid w:val="00A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AA1A01"/>
  </w:style>
  <w:style w:type="paragraph" w:styleId="Bezproreda">
    <w:name w:val="No Spacing"/>
    <w:uiPriority w:val="1"/>
    <w:qFormat/>
    <w:rsid w:val="00AA1A01"/>
    <w:pPr>
      <w:spacing w:after="0" w:line="240" w:lineRule="auto"/>
    </w:pPr>
  </w:style>
  <w:style w:type="paragraph" w:styleId="Zaglavlje">
    <w:name w:val="header"/>
    <w:basedOn w:val="Normal"/>
    <w:link w:val="ZaglavljeChar1"/>
    <w:uiPriority w:val="99"/>
    <w:semiHidden/>
    <w:unhideWhenUsed/>
    <w:rsid w:val="00AA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AA1A01"/>
  </w:style>
  <w:style w:type="paragraph" w:customStyle="1" w:styleId="WW-Default">
    <w:name w:val="WW-Default"/>
    <w:basedOn w:val="Normal"/>
    <w:qFormat/>
    <w:rsid w:val="00C4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2494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Marosevic</dc:creator>
  <cp:keywords/>
  <dc:description/>
  <cp:lastModifiedBy>Tomislav Kopić</cp:lastModifiedBy>
  <cp:revision>3</cp:revision>
  <dcterms:created xsi:type="dcterms:W3CDTF">2024-02-23T07:33:00Z</dcterms:created>
  <dcterms:modified xsi:type="dcterms:W3CDTF">2024-03-11T08:04:00Z</dcterms:modified>
</cp:coreProperties>
</file>